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AD" w:rsidRDefault="009F3981">
      <w:r w:rsidRPr="009F3981">
        <w:rPr>
          <w:b/>
          <w:color w:val="FF0000"/>
        </w:rPr>
        <w:t>Student Learning Outcomes (SLO) Assessment</w:t>
      </w:r>
      <w:r>
        <w:t xml:space="preserve"> involves determining the level of student achievement or mastery of the following</w:t>
      </w:r>
      <w:r w:rsidR="00BC17F8">
        <w:t xml:space="preserve"> SLOs</w:t>
      </w:r>
      <w:r>
        <w:t>:</w:t>
      </w:r>
    </w:p>
    <w:p w:rsidR="009F3981" w:rsidRDefault="009F3981"/>
    <w:tbl>
      <w:tblPr>
        <w:tblStyle w:val="TableGrid"/>
        <w:tblW w:w="9270" w:type="dxa"/>
        <w:tblInd w:w="-252" w:type="dxa"/>
        <w:tblLook w:val="04A0"/>
      </w:tblPr>
      <w:tblGrid>
        <w:gridCol w:w="2250"/>
        <w:gridCol w:w="312"/>
        <w:gridCol w:w="4008"/>
        <w:gridCol w:w="360"/>
        <w:gridCol w:w="2340"/>
      </w:tblGrid>
      <w:tr w:rsidR="000E0FDA" w:rsidTr="000E0FDA">
        <w:trPr>
          <w:trHeight w:val="432"/>
        </w:trPr>
        <w:tc>
          <w:tcPr>
            <w:tcW w:w="2250" w:type="dxa"/>
            <w:tcBorders>
              <w:top w:val="nil"/>
              <w:left w:val="nil"/>
              <w:bottom w:val="nil"/>
              <w:right w:val="nil"/>
            </w:tcBorders>
            <w:shd w:val="clear" w:color="auto" w:fill="C2D69B" w:themeFill="accent3" w:themeFillTint="99"/>
            <w:vAlign w:val="center"/>
          </w:tcPr>
          <w:p w:rsidR="000E0FDA" w:rsidRDefault="000E0FDA" w:rsidP="000E0FDA">
            <w:pPr>
              <w:jc w:val="center"/>
            </w:pPr>
            <w:r>
              <w:t>Course Goals (CGs)</w:t>
            </w:r>
          </w:p>
        </w:tc>
        <w:tc>
          <w:tcPr>
            <w:tcW w:w="312" w:type="dxa"/>
            <w:tcBorders>
              <w:top w:val="nil"/>
              <w:left w:val="nil"/>
              <w:bottom w:val="nil"/>
              <w:right w:val="nil"/>
            </w:tcBorders>
          </w:tcPr>
          <w:p w:rsidR="000E0FDA" w:rsidRDefault="000E0FDA" w:rsidP="000E0FDA">
            <w:pPr>
              <w:jc w:val="center"/>
            </w:pPr>
          </w:p>
        </w:tc>
        <w:tc>
          <w:tcPr>
            <w:tcW w:w="4008" w:type="dxa"/>
            <w:tcBorders>
              <w:top w:val="nil"/>
              <w:left w:val="nil"/>
              <w:bottom w:val="nil"/>
              <w:right w:val="nil"/>
            </w:tcBorders>
            <w:shd w:val="clear" w:color="auto" w:fill="C2D69B" w:themeFill="accent3" w:themeFillTint="99"/>
            <w:vAlign w:val="center"/>
          </w:tcPr>
          <w:p w:rsidR="000E0FDA" w:rsidRDefault="000E0FDA" w:rsidP="000E0FDA">
            <w:pPr>
              <w:jc w:val="center"/>
            </w:pPr>
            <w:r>
              <w:t>General Education Goals (GEGs)</w:t>
            </w:r>
          </w:p>
        </w:tc>
        <w:tc>
          <w:tcPr>
            <w:tcW w:w="360" w:type="dxa"/>
            <w:tcBorders>
              <w:top w:val="nil"/>
              <w:left w:val="nil"/>
              <w:bottom w:val="nil"/>
              <w:right w:val="nil"/>
            </w:tcBorders>
          </w:tcPr>
          <w:p w:rsidR="000E0FDA" w:rsidRDefault="000E0FDA" w:rsidP="000E0FDA">
            <w:pPr>
              <w:jc w:val="center"/>
            </w:pPr>
          </w:p>
        </w:tc>
        <w:tc>
          <w:tcPr>
            <w:tcW w:w="2340" w:type="dxa"/>
            <w:tcBorders>
              <w:top w:val="nil"/>
              <w:left w:val="nil"/>
              <w:bottom w:val="nil"/>
              <w:right w:val="nil"/>
            </w:tcBorders>
            <w:shd w:val="clear" w:color="auto" w:fill="C2D69B" w:themeFill="accent3" w:themeFillTint="99"/>
            <w:vAlign w:val="center"/>
          </w:tcPr>
          <w:p w:rsidR="000E0FDA" w:rsidRDefault="000E0FDA" w:rsidP="000E0FDA">
            <w:pPr>
              <w:jc w:val="center"/>
            </w:pPr>
            <w:r>
              <w:t>Program Goals (PGs)</w:t>
            </w:r>
          </w:p>
        </w:tc>
      </w:tr>
      <w:tr w:rsidR="000E0FDA" w:rsidTr="000E0FDA">
        <w:trPr>
          <w:trHeight w:val="180"/>
        </w:trPr>
        <w:tc>
          <w:tcPr>
            <w:tcW w:w="9270" w:type="dxa"/>
            <w:gridSpan w:val="5"/>
            <w:tcBorders>
              <w:top w:val="nil"/>
              <w:left w:val="nil"/>
              <w:bottom w:val="nil"/>
              <w:right w:val="nil"/>
            </w:tcBorders>
            <w:vAlign w:val="center"/>
          </w:tcPr>
          <w:p w:rsidR="000E0FDA" w:rsidRDefault="000E0FDA" w:rsidP="000E0FDA">
            <w:pPr>
              <w:jc w:val="center"/>
            </w:pPr>
          </w:p>
        </w:tc>
      </w:tr>
      <w:tr w:rsidR="000E0FDA" w:rsidTr="000E0FDA">
        <w:trPr>
          <w:trHeight w:val="432"/>
        </w:trPr>
        <w:tc>
          <w:tcPr>
            <w:tcW w:w="9270" w:type="dxa"/>
            <w:gridSpan w:val="5"/>
            <w:tcBorders>
              <w:top w:val="nil"/>
              <w:left w:val="nil"/>
              <w:bottom w:val="nil"/>
              <w:right w:val="nil"/>
            </w:tcBorders>
            <w:vAlign w:val="center"/>
          </w:tcPr>
          <w:p w:rsidR="000E0FDA" w:rsidRDefault="000E0FDA" w:rsidP="000E0FDA">
            <w:pPr>
              <w:jc w:val="center"/>
            </w:pPr>
            <w:r>
              <w:t>and all related learning objectives</w:t>
            </w:r>
          </w:p>
        </w:tc>
      </w:tr>
    </w:tbl>
    <w:p w:rsidR="000E0FDA" w:rsidRDefault="000E0FDA"/>
    <w:p w:rsidR="000E0FDA" w:rsidRDefault="000E0FDA"/>
    <w:p w:rsidR="009F3981" w:rsidRDefault="00505725">
      <w:r w:rsidRPr="00505725">
        <w:rPr>
          <w:b/>
          <w:bCs/>
          <w:u w:val="single"/>
        </w:rPr>
        <w:t>Important note</w:t>
      </w:r>
      <w:r>
        <w:t xml:space="preserve">: </w:t>
      </w:r>
      <w:r w:rsidR="00BC17F8">
        <w:t xml:space="preserve">Details regarding assessment of and other related information pertaining to each type of SLO listed above can be accessed by selecting the </w:t>
      </w:r>
      <w:r w:rsidR="00BC17F8" w:rsidRPr="00BC17F8">
        <w:rPr>
          <w:b/>
        </w:rPr>
        <w:t>Course</w:t>
      </w:r>
      <w:r w:rsidR="00BC17F8">
        <w:t xml:space="preserve">, </w:t>
      </w:r>
      <w:r w:rsidR="00BC17F8" w:rsidRPr="00BC17F8">
        <w:rPr>
          <w:b/>
        </w:rPr>
        <w:t>Gen Ed</w:t>
      </w:r>
      <w:r w:rsidR="00BC17F8">
        <w:t xml:space="preserve">, or </w:t>
      </w:r>
      <w:r w:rsidR="00BC17F8" w:rsidRPr="00BC17F8">
        <w:rPr>
          <w:b/>
        </w:rPr>
        <w:t xml:space="preserve">Program </w:t>
      </w:r>
      <w:r w:rsidR="00BC17F8">
        <w:t>tab on the green menu bar on this website.</w:t>
      </w:r>
    </w:p>
    <w:p w:rsidR="00BC17F8" w:rsidRDefault="00BC17F8"/>
    <w:p w:rsidR="00995A9F" w:rsidRDefault="00995A9F"/>
    <w:p w:rsidR="009F3981" w:rsidRDefault="009D66C0">
      <w:r>
        <w:t>Thorough a</w:t>
      </w:r>
      <w:r w:rsidR="009F3981">
        <w:t>ssessment of any of these SLOs (i.e., CGs, GEGs, and/or PGs), involves</w:t>
      </w:r>
      <w:r>
        <w:t xml:space="preserve"> completing </w:t>
      </w:r>
      <w:r w:rsidR="009F3981">
        <w:t xml:space="preserve">the </w:t>
      </w:r>
      <w:r w:rsidR="009F3981" w:rsidRPr="009D66C0">
        <w:rPr>
          <w:b/>
        </w:rPr>
        <w:t>3 stages</w:t>
      </w:r>
      <w:r>
        <w:t xml:space="preserve"> </w:t>
      </w:r>
      <w:r w:rsidRPr="009D66C0">
        <w:rPr>
          <w:b/>
        </w:rPr>
        <w:t>of the assessment</w:t>
      </w:r>
      <w:r w:rsidR="009F3981" w:rsidRPr="009D66C0">
        <w:rPr>
          <w:b/>
        </w:rPr>
        <w:t xml:space="preserve"> </w:t>
      </w:r>
      <w:r w:rsidRPr="009D66C0">
        <w:rPr>
          <w:b/>
        </w:rPr>
        <w:t>cycle</w:t>
      </w:r>
      <w:r>
        <w:t xml:space="preserve"> </w:t>
      </w:r>
      <w:r w:rsidR="009F3981">
        <w:t>depicted in the diagram below.</w:t>
      </w:r>
      <w:r w:rsidR="00BC17F8">
        <w:t xml:space="preserve">  </w:t>
      </w:r>
      <w:r w:rsidR="00BC17F8" w:rsidRPr="00BC17F8">
        <w:rPr>
          <w:color w:val="FF0000"/>
        </w:rPr>
        <w:t>Click here</w:t>
      </w:r>
      <w:r w:rsidR="00BC17F8">
        <w:t xml:space="preserve"> to see a draft of the proposed full </w:t>
      </w:r>
      <w:r w:rsidR="00BC17F8" w:rsidRPr="00BC17F8">
        <w:rPr>
          <w:color w:val="FF0000"/>
        </w:rPr>
        <w:t>ECC academic assessment calendar</w:t>
      </w:r>
      <w:r w:rsidR="00BC17F8">
        <w:t>.</w:t>
      </w:r>
    </w:p>
    <w:p w:rsidR="009F3981" w:rsidRDefault="009F3981"/>
    <w:p w:rsidR="009F3981" w:rsidRDefault="00CA25E0">
      <w:r>
        <w:rPr>
          <w:noProof/>
          <w:lang w:eastAsia="zh-TW"/>
        </w:rPr>
        <w:pict>
          <v:roundrect id="_x0000_s1036" style="position:absolute;margin-left:30.75pt;margin-top:6.9pt;width:400.4pt;height:137.25pt;z-index:251671552;mso-width-relative:margin;mso-height-relative:margin" arcsize="10923f" filled="f" strokecolor="black [3213]">
            <v:textbox>
              <w:txbxContent>
                <w:p w:rsidR="009D66C0" w:rsidRPr="009D66C0" w:rsidRDefault="009D66C0" w:rsidP="009D66C0">
                  <w:pPr>
                    <w:jc w:val="both"/>
                  </w:pPr>
                  <w:r w:rsidRPr="00455E16">
                    <w:rPr>
                      <w:b/>
                      <w:color w:val="FF0000"/>
                    </w:rPr>
                    <w:t>Planning Stage</w:t>
                  </w:r>
                  <w:r>
                    <w:rPr>
                      <w:b/>
                    </w:rPr>
                    <w:t xml:space="preserve"> </w:t>
                  </w:r>
                  <w:r w:rsidRPr="009D66C0">
                    <w:t xml:space="preserve">– </w:t>
                  </w:r>
                  <w:r>
                    <w:t>clear, measurable SLOs (</w:t>
                  </w:r>
                  <w:r w:rsidR="004B3DAE">
                    <w:t>Course/General Education/Program</w:t>
                  </w:r>
                  <w:r>
                    <w:t xml:space="preserve"> </w:t>
                  </w:r>
                  <w:r w:rsidR="004B3DAE">
                    <w:t>g</w:t>
                  </w:r>
                  <w:r>
                    <w:t xml:space="preserve">oals &amp; </w:t>
                  </w:r>
                  <w:r w:rsidR="004B3DAE">
                    <w:t>related learning o</w:t>
                  </w:r>
                  <w:r>
                    <w:t xml:space="preserve">bjectives = knowledge, skills, behaviors, etc.) that students will have once they successfully complete a course/general education core curriculum/program are </w:t>
                  </w:r>
                  <w:r w:rsidR="00DE128B">
                    <w:t xml:space="preserve">initially </w:t>
                  </w:r>
                  <w:r>
                    <w:t>established</w:t>
                  </w:r>
                  <w:r w:rsidR="00DE128B">
                    <w:t>; areas of concern from previously conducted assessment studies are shared collegially</w:t>
                  </w:r>
                  <w:r w:rsidR="004B3DAE">
                    <w:t xml:space="preserve"> and</w:t>
                  </w:r>
                  <w:r w:rsidR="00DE128B">
                    <w:t xml:space="preserve"> action plans</w:t>
                  </w:r>
                  <w:r w:rsidR="004B3DAE">
                    <w:t>, or interventions,</w:t>
                  </w:r>
                  <w:r w:rsidR="00DE128B">
                    <w:t xml:space="preserve"> to address student underperformance on various SLOs </w:t>
                  </w:r>
                  <w:r w:rsidR="004B3DAE">
                    <w:t xml:space="preserve">(if any are discovered) </w:t>
                  </w:r>
                  <w:r w:rsidR="00DE128B">
                    <w:t>are formulated and prioritized</w:t>
                  </w:r>
                </w:p>
              </w:txbxContent>
            </v:textbox>
          </v:roundrect>
        </w:pict>
      </w:r>
    </w:p>
    <w:p w:rsidR="009F3981" w:rsidRDefault="00995A9F" w:rsidP="00995A9F">
      <w:pPr>
        <w:tabs>
          <w:tab w:val="left" w:pos="3735"/>
        </w:tabs>
      </w:pPr>
      <w:r>
        <w:tab/>
      </w:r>
    </w:p>
    <w:p w:rsidR="009F3981" w:rsidRDefault="009F3981"/>
    <w:p w:rsidR="00455E16" w:rsidRDefault="00CA25E0">
      <w:r>
        <w:rPr>
          <w:noProof/>
        </w:rPr>
        <w:pict>
          <v:group id="_x0000_s1044" style="position:absolute;margin-left:-15.75pt;margin-top:8.55pt;width:256.5pt;height:295.5pt;z-index:251666432" coordorigin="1485,7170" coordsize="5130,59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5970;top:9075;width:645;height:585" fillcolor="#bfbfbf [2412]" strokecolor="#bfbfbf [2412]"/>
            <v:shape id="_x0000_s1040" type="#_x0000_t67" style="position:absolute;left:5970;top:11685;width:645;height:585" fillcolor="#bfbfbf [2412]" strokecolor="#bfbfbf [2412]"/>
            <v:shape id="_x0000_s1041" type="#_x0000_t67" style="position:absolute;left:1800;top:7200;width:645;height:585;rotation:270" fillcolor="#bfbfbf [2412]" strokecolor="#bfbfbf [2412]"/>
            <v:rect id="_x0000_s1042" style="position:absolute;left:1485;top:7320;width:345;height:5760" fillcolor="#bfbfbf [2412]" strokecolor="#bfbfbf [2412]"/>
            <v:rect id="_x0000_s1043" style="position:absolute;left:1830;top:12735;width:615;height:345" fillcolor="#bfbfbf [2412]" strokecolor="#bfbfbf [2412]"/>
          </v:group>
        </w:pict>
      </w:r>
    </w:p>
    <w:p w:rsidR="00455E16" w:rsidRDefault="00455E16"/>
    <w:p w:rsidR="00455E16" w:rsidRDefault="00455E16"/>
    <w:p w:rsidR="00455E16" w:rsidRDefault="00455E16"/>
    <w:p w:rsidR="00455E16" w:rsidRDefault="00455E16"/>
    <w:p w:rsidR="00455E16" w:rsidRDefault="00455E16"/>
    <w:p w:rsidR="00455E16" w:rsidRDefault="00455E16"/>
    <w:p w:rsidR="00455E16" w:rsidRDefault="00455E16"/>
    <w:p w:rsidR="00455E16" w:rsidRDefault="00455E16"/>
    <w:p w:rsidR="00455E16" w:rsidRDefault="00CA25E0">
      <w:r>
        <w:rPr>
          <w:noProof/>
          <w:lang w:eastAsia="zh-TW"/>
        </w:rPr>
        <w:pict>
          <v:roundrect id="_x0000_s1037" style="position:absolute;margin-left:30.75pt;margin-top:9.6pt;width:400.55pt;height:99.75pt;z-index:251662336;mso-width-relative:margin;mso-height-relative:margin" arcsize="10923f">
            <v:textbox style="mso-next-textbox:#_x0000_s1037">
              <w:txbxContent>
                <w:p w:rsidR="009D66C0" w:rsidRDefault="009D66C0" w:rsidP="009D66C0">
                  <w:pPr>
                    <w:jc w:val="both"/>
                  </w:pPr>
                  <w:r w:rsidRPr="00455E16">
                    <w:rPr>
                      <w:b/>
                      <w:color w:val="FF0000"/>
                    </w:rPr>
                    <w:t>Implementation Stage</w:t>
                  </w:r>
                  <w:r>
                    <w:t xml:space="preserve"> – plans to accomplish these</w:t>
                  </w:r>
                  <w:r w:rsidR="004B3DAE">
                    <w:t xml:space="preserve"> SLOs</w:t>
                  </w:r>
                  <w:r>
                    <w:t xml:space="preserve"> are enacted</w:t>
                  </w:r>
                  <w:r w:rsidR="0022191C">
                    <w:t xml:space="preserve"> – students are given frequent opportunities to master related content, skills, and behaviors in their courses and programs</w:t>
                  </w:r>
                  <w:r w:rsidR="00DE128B">
                    <w:t xml:space="preserve">; </w:t>
                  </w:r>
                  <w:r w:rsidR="0022191C">
                    <w:t xml:space="preserve">learning and assessment </w:t>
                  </w:r>
                  <w:r w:rsidR="00DE128B">
                    <w:t>materials, resources, and activities are developed and implemented</w:t>
                  </w:r>
                  <w:r w:rsidR="0022191C">
                    <w:t xml:space="preserve"> at the course level</w:t>
                  </w:r>
                  <w:r w:rsidR="00DE128B">
                    <w:t xml:space="preserve">; </w:t>
                  </w:r>
                  <w:r w:rsidR="0022191C">
                    <w:t xml:space="preserve">SLO </w:t>
                  </w:r>
                  <w:r w:rsidR="00DE128B">
                    <w:t xml:space="preserve">data is collected </w:t>
                  </w:r>
                  <w:r w:rsidR="0022191C">
                    <w:t xml:space="preserve">on a regular basis </w:t>
                  </w:r>
                  <w:r w:rsidR="00DE128B">
                    <w:t xml:space="preserve">to determine the current level of student mastery of various </w:t>
                  </w:r>
                  <w:r w:rsidR="0022191C">
                    <w:t>goals and related objectives</w:t>
                  </w:r>
                </w:p>
              </w:txbxContent>
            </v:textbox>
          </v:roundrect>
        </w:pict>
      </w:r>
    </w:p>
    <w:p w:rsidR="00455E16" w:rsidRDefault="00455E16"/>
    <w:p w:rsidR="00455E16" w:rsidRDefault="00455E16"/>
    <w:p w:rsidR="00455E16" w:rsidRDefault="00455E16"/>
    <w:p w:rsidR="00455E16" w:rsidRDefault="00455E16"/>
    <w:p w:rsidR="00455E16" w:rsidRDefault="00455E16"/>
    <w:p w:rsidR="00455E16" w:rsidRDefault="00455E16"/>
    <w:p w:rsidR="00455E16" w:rsidRDefault="00455E16"/>
    <w:p w:rsidR="00455E16" w:rsidRDefault="00455E16"/>
    <w:p w:rsidR="00455E16" w:rsidRDefault="00455E16"/>
    <w:p w:rsidR="00455E16" w:rsidRDefault="00CA25E0">
      <w:r>
        <w:rPr>
          <w:noProof/>
          <w:lang w:eastAsia="zh-TW"/>
        </w:rPr>
        <w:pict>
          <v:roundrect id="_x0000_s1038" style="position:absolute;margin-left:31.5pt;margin-top:2.15pt;width:400.55pt;height:61.75pt;z-index:251670528;mso-width-relative:margin;mso-height-relative:margin" arcsize="10923f">
            <v:textbox>
              <w:txbxContent>
                <w:p w:rsidR="009D66C0" w:rsidRDefault="009D66C0" w:rsidP="009D66C0">
                  <w:pPr>
                    <w:jc w:val="both"/>
                  </w:pPr>
                  <w:r w:rsidRPr="00455E16">
                    <w:rPr>
                      <w:b/>
                      <w:color w:val="FF0000"/>
                    </w:rPr>
                    <w:t>Reflection Stage</w:t>
                  </w:r>
                  <w:r>
                    <w:t xml:space="preserve"> – collected </w:t>
                  </w:r>
                  <w:r w:rsidR="0022191C">
                    <w:t xml:space="preserve">SLO </w:t>
                  </w:r>
                  <w:r>
                    <w:t xml:space="preserve">data is analyzed and underperformance (if any </w:t>
                  </w:r>
                  <w:r w:rsidR="0022191C">
                    <w:t xml:space="preserve">if found to </w:t>
                  </w:r>
                  <w:r>
                    <w:t>exist) is identified</w:t>
                  </w:r>
                  <w:r w:rsidR="00DE128B">
                    <w:t xml:space="preserve"> and </w:t>
                  </w:r>
                  <w:r w:rsidR="0022191C">
                    <w:t>discuss</w:t>
                  </w:r>
                  <w:r w:rsidR="00DE128B">
                    <w:t>ed with colleagues; established SLOs are reviewed an edited as necessary</w:t>
                  </w:r>
                </w:p>
              </w:txbxContent>
            </v:textbox>
          </v:roundrect>
        </w:pict>
      </w:r>
    </w:p>
    <w:p w:rsidR="00455E16" w:rsidRDefault="00455E16"/>
    <w:p w:rsidR="00BC17F8" w:rsidRDefault="00BC17F8">
      <w:pPr>
        <w:sectPr w:rsidR="00BC17F8" w:rsidSect="005861AD">
          <w:headerReference w:type="default" r:id="rId8"/>
          <w:pgSz w:w="12240" w:h="15840"/>
          <w:pgMar w:top="1440" w:right="1800" w:bottom="1440" w:left="1800" w:header="708" w:footer="708" w:gutter="0"/>
          <w:cols w:space="708"/>
          <w:docGrid w:linePitch="360"/>
        </w:sectPr>
      </w:pPr>
    </w:p>
    <w:p w:rsidR="005241DC" w:rsidRDefault="005241DC">
      <w:r>
        <w:lastRenderedPageBreak/>
        <w:t xml:space="preserve">All programs offered at ECC require students to complete a general education (gen ed) core curriculum.  By completing this gen ed core curriculum, the students should master prescribed general education goals and related objectives in </w:t>
      </w:r>
      <w:r w:rsidR="00D119F8">
        <w:t>eight</w:t>
      </w:r>
      <w:r>
        <w:t xml:space="preserve"> </w:t>
      </w:r>
      <w:r w:rsidRPr="00D119F8">
        <w:rPr>
          <w:b/>
        </w:rPr>
        <w:t>General Education Foundation Categories</w:t>
      </w:r>
      <w:r w:rsidR="00D119F8">
        <w:t xml:space="preserve"> and two additional </w:t>
      </w:r>
      <w:r w:rsidR="00D119F8" w:rsidRPr="00D119F8">
        <w:rPr>
          <w:b/>
        </w:rPr>
        <w:t>General Education Integrated Course Goals</w:t>
      </w:r>
      <w:r w:rsidR="00D119F8">
        <w:t xml:space="preserve"> and related objectives</w:t>
      </w:r>
      <w:r>
        <w:t xml:space="preserve">. </w:t>
      </w:r>
      <w:r w:rsidR="00702ED2">
        <w:t xml:space="preserve"> </w:t>
      </w:r>
      <w:r w:rsidR="005D6CC0">
        <w:t>T</w:t>
      </w:r>
      <w:r>
        <w:t xml:space="preserve">he </w:t>
      </w:r>
      <w:r w:rsidR="00702ED2">
        <w:t xml:space="preserve">eight </w:t>
      </w:r>
      <w:r>
        <w:t xml:space="preserve">gen ed foundation categories and associated gen ed goals and objectives </w:t>
      </w:r>
      <w:r w:rsidR="00D119F8">
        <w:t xml:space="preserve">along with the two gen ed integrated course goals </w:t>
      </w:r>
      <w:r>
        <w:t xml:space="preserve">– i.e., the gen ed requirements – </w:t>
      </w:r>
      <w:r w:rsidR="00702ED2">
        <w:t>have been</w:t>
      </w:r>
      <w:r>
        <w:t xml:space="preserve"> collegially determined and agreed upon by all 19 New Jersey County Colleges.  </w:t>
      </w:r>
      <w:r w:rsidR="00702ED2">
        <w:t>T</w:t>
      </w:r>
      <w:r>
        <w:t>he</w:t>
      </w:r>
      <w:r w:rsidR="005D6CC0">
        <w:t>y are</w:t>
      </w:r>
      <w:r w:rsidR="00D119F8">
        <w:t xml:space="preserve"> </w:t>
      </w:r>
      <w:r>
        <w:t>as follows:</w:t>
      </w:r>
    </w:p>
    <w:p w:rsidR="005241DC" w:rsidRDefault="00D119F8" w:rsidP="000E0FDA">
      <w:pPr>
        <w:jc w:val="center"/>
        <w:rPr>
          <w:b/>
        </w:rPr>
      </w:pPr>
      <w:r>
        <w:br/>
      </w:r>
      <w:r w:rsidRPr="00D119F8">
        <w:rPr>
          <w:b/>
        </w:rPr>
        <w:t>Gen Ed Foundation Categories</w:t>
      </w:r>
    </w:p>
    <w:p w:rsidR="00E20230" w:rsidRPr="00E20230" w:rsidRDefault="00E20230">
      <w:pPr>
        <w:rPr>
          <w:b/>
          <w:sz w:val="12"/>
          <w:szCs w:val="12"/>
        </w:rPr>
      </w:pPr>
    </w:p>
    <w:p w:rsidR="00D119F8" w:rsidRDefault="005241DC" w:rsidP="00D119F8">
      <w:pPr>
        <w:pStyle w:val="ListParagraph"/>
        <w:numPr>
          <w:ilvl w:val="0"/>
          <w:numId w:val="2"/>
        </w:numPr>
        <w:sectPr w:rsidR="00D119F8" w:rsidSect="005861AD">
          <w:headerReference w:type="default" r:id="rId9"/>
          <w:pgSz w:w="12240" w:h="15840"/>
          <w:pgMar w:top="1440" w:right="1800" w:bottom="1440" w:left="1800" w:header="708" w:footer="708" w:gutter="0"/>
          <w:cols w:space="708"/>
          <w:docGrid w:linePitch="360"/>
        </w:sectPr>
      </w:pPr>
      <w:r>
        <w:t xml:space="preserve">Written </w:t>
      </w:r>
      <w:r w:rsidR="00D119F8">
        <w:t>&amp; Oral Communication</w:t>
      </w:r>
    </w:p>
    <w:p w:rsidR="005241DC" w:rsidRDefault="005241DC" w:rsidP="00D119F8">
      <w:pPr>
        <w:pStyle w:val="ListParagraph"/>
        <w:numPr>
          <w:ilvl w:val="0"/>
          <w:numId w:val="2"/>
        </w:numPr>
      </w:pPr>
      <w:r>
        <w:lastRenderedPageBreak/>
        <w:t xml:space="preserve">Quantitative </w:t>
      </w:r>
      <w:r w:rsidR="00D119F8">
        <w:t>Knowledge</w:t>
      </w:r>
      <w:r>
        <w:t xml:space="preserve"> and Skills</w:t>
      </w:r>
    </w:p>
    <w:p w:rsidR="005241DC" w:rsidRDefault="005241DC" w:rsidP="00D119F8">
      <w:pPr>
        <w:pStyle w:val="ListParagraph"/>
        <w:numPr>
          <w:ilvl w:val="0"/>
          <w:numId w:val="2"/>
        </w:numPr>
      </w:pPr>
      <w:r>
        <w:t xml:space="preserve">Scientific Knowledge and </w:t>
      </w:r>
      <w:r w:rsidR="00D119F8">
        <w:t>Reasoning</w:t>
      </w:r>
    </w:p>
    <w:p w:rsidR="005241DC" w:rsidRDefault="005241DC" w:rsidP="00D119F8">
      <w:pPr>
        <w:pStyle w:val="ListParagraph"/>
        <w:numPr>
          <w:ilvl w:val="0"/>
          <w:numId w:val="2"/>
        </w:numPr>
      </w:pPr>
      <w:r>
        <w:t>Technological Competency</w:t>
      </w:r>
    </w:p>
    <w:p w:rsidR="005241DC" w:rsidRDefault="00D119F8" w:rsidP="00D119F8">
      <w:pPr>
        <w:pStyle w:val="ListParagraph"/>
        <w:numPr>
          <w:ilvl w:val="0"/>
          <w:numId w:val="2"/>
        </w:numPr>
      </w:pPr>
      <w:r>
        <w:t>Society and Human Behavior</w:t>
      </w:r>
    </w:p>
    <w:p w:rsidR="005241DC" w:rsidRDefault="005241DC" w:rsidP="00D119F8">
      <w:pPr>
        <w:pStyle w:val="ListParagraph"/>
        <w:numPr>
          <w:ilvl w:val="0"/>
          <w:numId w:val="2"/>
        </w:numPr>
      </w:pPr>
      <w:r>
        <w:lastRenderedPageBreak/>
        <w:t>Humanistic Perspective</w:t>
      </w:r>
    </w:p>
    <w:p w:rsidR="00D119F8" w:rsidRDefault="00D119F8" w:rsidP="00D119F8">
      <w:pPr>
        <w:pStyle w:val="ListParagraph"/>
        <w:numPr>
          <w:ilvl w:val="0"/>
          <w:numId w:val="2"/>
        </w:numPr>
      </w:pPr>
      <w:r>
        <w:t>Historical Perspective</w:t>
      </w:r>
    </w:p>
    <w:p w:rsidR="00A00E92" w:rsidRDefault="00D119F8" w:rsidP="00A00E92">
      <w:pPr>
        <w:pStyle w:val="ListParagraph"/>
        <w:numPr>
          <w:ilvl w:val="0"/>
          <w:numId w:val="2"/>
        </w:numPr>
      </w:pPr>
      <w:r>
        <w:t xml:space="preserve">Global </w:t>
      </w:r>
      <w:r w:rsidR="00A00E92">
        <w:t>&amp; Cultural Awareness of Diversity</w:t>
      </w:r>
    </w:p>
    <w:p w:rsidR="00E20230" w:rsidRDefault="00E20230" w:rsidP="00E20230">
      <w:pPr>
        <w:sectPr w:rsidR="00E20230" w:rsidSect="00D119F8">
          <w:type w:val="continuous"/>
          <w:pgSz w:w="12240" w:h="15840"/>
          <w:pgMar w:top="1440" w:right="1800" w:bottom="1440" w:left="1800" w:header="708" w:footer="708" w:gutter="0"/>
          <w:cols w:num="2" w:space="48"/>
          <w:docGrid w:linePitch="360"/>
        </w:sectPr>
      </w:pPr>
    </w:p>
    <w:p w:rsidR="00D119F8" w:rsidRDefault="00D119F8"/>
    <w:p w:rsidR="00D119F8" w:rsidRPr="00E20230" w:rsidRDefault="00D119F8" w:rsidP="000E0FDA">
      <w:pPr>
        <w:contextualSpacing/>
        <w:jc w:val="center"/>
        <w:rPr>
          <w:b/>
          <w:sz w:val="12"/>
          <w:szCs w:val="12"/>
        </w:rPr>
      </w:pPr>
      <w:r w:rsidRPr="00D119F8">
        <w:rPr>
          <w:b/>
        </w:rPr>
        <w:t>Gen Ed Integrated Course Goals</w:t>
      </w:r>
    </w:p>
    <w:p w:rsidR="00A00E92" w:rsidRPr="00E20230" w:rsidRDefault="00A00E92" w:rsidP="00E20230">
      <w:pPr>
        <w:pStyle w:val="ListParagraph"/>
        <w:rPr>
          <w:sz w:val="12"/>
          <w:szCs w:val="12"/>
        </w:rPr>
      </w:pPr>
    </w:p>
    <w:p w:rsidR="00E20230" w:rsidRPr="00E20230" w:rsidRDefault="00E20230" w:rsidP="00E20230">
      <w:pPr>
        <w:pStyle w:val="ListParagraph"/>
        <w:rPr>
          <w:sz w:val="12"/>
          <w:szCs w:val="12"/>
        </w:rPr>
        <w:sectPr w:rsidR="00E20230" w:rsidRPr="00E20230" w:rsidSect="00D119F8">
          <w:type w:val="continuous"/>
          <w:pgSz w:w="12240" w:h="15840"/>
          <w:pgMar w:top="1440" w:right="1800" w:bottom="1440" w:left="1800" w:header="708" w:footer="708" w:gutter="0"/>
          <w:cols w:space="708"/>
          <w:docGrid w:linePitch="360"/>
        </w:sectPr>
      </w:pPr>
    </w:p>
    <w:p w:rsidR="005241DC" w:rsidRDefault="005241DC" w:rsidP="00E20230">
      <w:pPr>
        <w:pStyle w:val="ListParagraph"/>
        <w:numPr>
          <w:ilvl w:val="0"/>
          <w:numId w:val="3"/>
        </w:numPr>
        <w:ind w:left="357" w:hanging="357"/>
      </w:pPr>
      <w:r>
        <w:lastRenderedPageBreak/>
        <w:t xml:space="preserve">Ethical Reasoning and </w:t>
      </w:r>
      <w:r w:rsidR="00D119F8">
        <w:t>Action</w:t>
      </w:r>
    </w:p>
    <w:p w:rsidR="00D119F8" w:rsidRDefault="00D119F8" w:rsidP="00E20230">
      <w:pPr>
        <w:pStyle w:val="ListParagraph"/>
        <w:numPr>
          <w:ilvl w:val="0"/>
          <w:numId w:val="3"/>
        </w:numPr>
        <w:ind w:left="357" w:hanging="357"/>
      </w:pPr>
      <w:r>
        <w:lastRenderedPageBreak/>
        <w:t>Information Literacy</w:t>
      </w:r>
    </w:p>
    <w:p w:rsidR="00A00E92" w:rsidRDefault="00A00E92">
      <w:pPr>
        <w:sectPr w:rsidR="00A00E92" w:rsidSect="00A00E92">
          <w:type w:val="continuous"/>
          <w:pgSz w:w="12240" w:h="15840"/>
          <w:pgMar w:top="1440" w:right="1800" w:bottom="1440" w:left="1800" w:header="708" w:footer="708" w:gutter="0"/>
          <w:cols w:num="2" w:space="48"/>
          <w:docGrid w:linePitch="360"/>
        </w:sectPr>
      </w:pPr>
    </w:p>
    <w:p w:rsidR="00455E16" w:rsidRDefault="00455E16"/>
    <w:p w:rsidR="00A00E92" w:rsidRDefault="00A00E92"/>
    <w:p w:rsidR="00A00E92" w:rsidRDefault="00A00E92">
      <w:r w:rsidRPr="00E20230">
        <w:rPr>
          <w:color w:val="FF0000"/>
        </w:rPr>
        <w:t>Click here</w:t>
      </w:r>
      <w:r>
        <w:t xml:space="preserve"> to see the detailed gen ed goals and related objectives and a list of which ECC courses are ‘affirmed’ (by the state) in each gen ed foundation category</w:t>
      </w:r>
      <w:r w:rsidR="00702ED2">
        <w:t xml:space="preserve"> and/or are determined to address each gen ed integrated course goal</w:t>
      </w:r>
      <w:r>
        <w:t>.</w:t>
      </w:r>
      <w:r w:rsidR="00E20230">
        <w:t xml:space="preserve">  </w:t>
      </w:r>
      <w:r w:rsidR="00E20230" w:rsidRPr="00E20230">
        <w:rPr>
          <w:highlight w:val="green"/>
        </w:rPr>
        <w:t>&lt;&lt; link to Gen</w:t>
      </w:r>
      <w:r w:rsidR="00E20230">
        <w:rPr>
          <w:highlight w:val="green"/>
        </w:rPr>
        <w:t>_</w:t>
      </w:r>
      <w:r w:rsidR="00E20230" w:rsidRPr="00E20230">
        <w:rPr>
          <w:highlight w:val="green"/>
        </w:rPr>
        <w:t>Ed</w:t>
      </w:r>
      <w:r w:rsidR="00E20230">
        <w:rPr>
          <w:highlight w:val="green"/>
        </w:rPr>
        <w:t>_List_by_Course</w:t>
      </w:r>
      <w:r w:rsidR="00E20230" w:rsidRPr="00E20230">
        <w:rPr>
          <w:highlight w:val="green"/>
        </w:rPr>
        <w:t xml:space="preserve"> MS Word file&gt;&gt;</w:t>
      </w:r>
    </w:p>
    <w:p w:rsidR="00702ED2" w:rsidRDefault="00702ED2"/>
    <w:p w:rsidR="00702ED2" w:rsidRDefault="00702ED2" w:rsidP="00702ED2">
      <w:r w:rsidRPr="00702ED2">
        <w:rPr>
          <w:color w:val="FF0000"/>
        </w:rPr>
        <w:t>Click here</w:t>
      </w:r>
      <w:r>
        <w:t xml:space="preserve"> to see how many credits of coursework ‘affirmed’ in each gen ed foundation category and/or determined to address each gen ed integrated course goal are required for A.A., A.S., A.A.S., and Certificate degree programs.  </w:t>
      </w:r>
      <w:r w:rsidRPr="00702ED2">
        <w:rPr>
          <w:highlight w:val="green"/>
        </w:rPr>
        <w:t xml:space="preserve"> </w:t>
      </w:r>
      <w:r w:rsidRPr="00E20230">
        <w:rPr>
          <w:highlight w:val="green"/>
        </w:rPr>
        <w:t>&lt;&lt; link to Gen</w:t>
      </w:r>
      <w:r>
        <w:rPr>
          <w:highlight w:val="green"/>
        </w:rPr>
        <w:t>_</w:t>
      </w:r>
      <w:r w:rsidRPr="00E20230">
        <w:rPr>
          <w:highlight w:val="green"/>
        </w:rPr>
        <w:t>Ed</w:t>
      </w:r>
      <w:r>
        <w:rPr>
          <w:highlight w:val="green"/>
        </w:rPr>
        <w:t>_Reqs_by_Degree</w:t>
      </w:r>
      <w:r w:rsidRPr="00E20230">
        <w:rPr>
          <w:highlight w:val="green"/>
        </w:rPr>
        <w:t xml:space="preserve"> MS Word file&gt;&gt;</w:t>
      </w:r>
    </w:p>
    <w:p w:rsidR="00702ED2" w:rsidRDefault="00702ED2"/>
    <w:p w:rsidR="00E20230" w:rsidRDefault="00E20230"/>
    <w:p w:rsidR="00702ED2" w:rsidRDefault="00702ED2" w:rsidP="00702ED2">
      <w:r w:rsidRPr="00702ED2">
        <w:t>{</w:t>
      </w:r>
      <w:r w:rsidRPr="00702ED2">
        <w:rPr>
          <w:color w:val="FF0000"/>
        </w:rPr>
        <w:t>Click here</w:t>
      </w:r>
      <w:r>
        <w:t xml:space="preserve"> to be redirected to </w:t>
      </w:r>
      <w:hyperlink r:id="rId10" w:history="1">
        <w:r w:rsidRPr="000C5C26">
          <w:rPr>
            <w:rStyle w:val="Hyperlink"/>
          </w:rPr>
          <w:t>www.njccc.org/gened</w:t>
        </w:r>
      </w:hyperlink>
      <w:r>
        <w:t xml:space="preserve">, the website for the </w:t>
      </w:r>
      <w:r w:rsidRPr="00702ED2">
        <w:rPr>
          <w:b/>
        </w:rPr>
        <w:t>New Jersey Council of County Colleges</w:t>
      </w:r>
      <w:r>
        <w:t xml:space="preserve">, where specific up-to-date as well as historical details of these gen ed requirements (as included in the Lampitt Bill and the Transfer Agreement legislation, which was designed to ensure seamless transfer between NJ county colleges and four-year NJ public colleges/ institutions) can be </w:t>
      </w:r>
      <w:r w:rsidRPr="005241DC">
        <w:t>found</w:t>
      </w:r>
      <w:r>
        <w:t>.}</w:t>
      </w:r>
    </w:p>
    <w:p w:rsidR="00702ED2" w:rsidRDefault="00702ED2"/>
    <w:p w:rsidR="00702ED2" w:rsidRDefault="00702ED2"/>
    <w:p w:rsidR="005D6CC0" w:rsidRDefault="005D6CC0" w:rsidP="005D6CC0">
      <w:pPr>
        <w:sectPr w:rsidR="005D6CC0" w:rsidSect="00D119F8">
          <w:type w:val="continuous"/>
          <w:pgSz w:w="12240" w:h="15840"/>
          <w:pgMar w:top="1440" w:right="1800" w:bottom="1440" w:left="1800" w:header="708" w:footer="708" w:gutter="0"/>
          <w:cols w:space="708"/>
          <w:docGrid w:linePitch="360"/>
        </w:sectPr>
      </w:pPr>
      <w:r w:rsidRPr="005D6CC0">
        <w:rPr>
          <w:b/>
        </w:rPr>
        <w:t>Gen ed assessment</w:t>
      </w:r>
      <w:r>
        <w:t xml:space="preserve"> requires the determination of the level of student mastery of all required gen ed goals and related objectives.  Such assessment is conducted at the course level; therefore, specific SLO assessment results can be accessed by selecting the </w:t>
      </w:r>
      <w:r w:rsidRPr="00BC17F8">
        <w:rPr>
          <w:b/>
        </w:rPr>
        <w:t xml:space="preserve">Course </w:t>
      </w:r>
      <w:r>
        <w:t>tab on the green menu bar on this website and locating the particular gen ed course in the SLOAT section on this page.</w:t>
      </w:r>
    </w:p>
    <w:p w:rsidR="005D6CC0" w:rsidRDefault="005D6CC0" w:rsidP="005D6CC0">
      <w:r>
        <w:lastRenderedPageBreak/>
        <w:t xml:space="preserve">All ECC degree programs require students to master specific </w:t>
      </w:r>
      <w:r w:rsidRPr="00F425CB">
        <w:rPr>
          <w:b/>
        </w:rPr>
        <w:t>program goals</w:t>
      </w:r>
      <w:r>
        <w:t xml:space="preserve">, which describe the particular knowledge/content, skills, and behaviors students should have acquired upon successful completion of all required program courses.  </w:t>
      </w:r>
      <w:r w:rsidRPr="005D6CC0">
        <w:rPr>
          <w:color w:val="FF0000"/>
        </w:rPr>
        <w:t xml:space="preserve">Click here </w:t>
      </w:r>
      <w:r>
        <w:t xml:space="preserve">to be redirected to </w:t>
      </w:r>
      <w:hyperlink r:id="rId11" w:history="1">
        <w:r w:rsidRPr="000C5C26">
          <w:rPr>
            <w:rStyle w:val="Hyperlink"/>
          </w:rPr>
          <w:t>www.essex.edu</w:t>
        </w:r>
      </w:hyperlink>
      <w:r>
        <w:t xml:space="preserve"> and then click on Academics </w:t>
      </w:r>
      <w:r>
        <w:sym w:font="Wingdings" w:char="F0E0"/>
      </w:r>
      <w:r>
        <w:t xml:space="preserve"> Degree and Certificate Programs by Major </w:t>
      </w:r>
      <w:r>
        <w:sym w:font="Wingdings" w:char="F0E0"/>
      </w:r>
      <w:r>
        <w:t xml:space="preserve"> [specific degree program] </w:t>
      </w:r>
      <w:r>
        <w:sym w:font="Wingdings" w:char="F0E0"/>
      </w:r>
      <w:r>
        <w:t xml:space="preserve"> </w:t>
      </w:r>
      <w:r w:rsidRPr="005D6CC0">
        <w:rPr>
          <w:i/>
          <w:color w:val="00B050"/>
        </w:rPr>
        <w:t>Upon completion of this program, graduates will be able to…</w:t>
      </w:r>
      <w:r>
        <w:t xml:space="preserve"> to locate the program goals for any major offered at the College.</w:t>
      </w:r>
    </w:p>
    <w:p w:rsidR="005D6CC0" w:rsidRDefault="005D6CC0" w:rsidP="005D6CC0"/>
    <w:p w:rsidR="00702ED2" w:rsidRDefault="005D6CC0" w:rsidP="00F425CB">
      <w:r>
        <w:t xml:space="preserve">Program </w:t>
      </w:r>
      <w:r w:rsidR="00F425CB">
        <w:t xml:space="preserve">SLO </w:t>
      </w:r>
      <w:r>
        <w:t xml:space="preserve">goals are achieved in the </w:t>
      </w:r>
      <w:r w:rsidR="00F425CB">
        <w:t xml:space="preserve">collective </w:t>
      </w:r>
      <w:r>
        <w:t>requi</w:t>
      </w:r>
      <w:r w:rsidR="00F425CB">
        <w:t xml:space="preserve">red program courses; therefore, specific SLO assessment results can be accessed by selecting the </w:t>
      </w:r>
      <w:r w:rsidR="00F425CB" w:rsidRPr="00BC17F8">
        <w:rPr>
          <w:b/>
        </w:rPr>
        <w:t xml:space="preserve">Course </w:t>
      </w:r>
      <w:r w:rsidR="00F425CB">
        <w:t>tab on the green menu bar on this website and locating the particular required program course in the SLOAT section on this page.</w:t>
      </w:r>
    </w:p>
    <w:p w:rsidR="00F425CB" w:rsidRDefault="00F425CB" w:rsidP="00F425CB"/>
    <w:p w:rsidR="00F425CB" w:rsidRDefault="00F425CB" w:rsidP="008A1FC1">
      <w:r>
        <w:t xml:space="preserve">ECC degree programs are also thoroughly and regularly evaluated to determine compliance with or performance related to other standards – either particular standards set externally by (external) accrediting agencies or else the four (internal) SAAC standards, which are </w:t>
      </w:r>
      <w:r w:rsidR="007C7EA4">
        <w:t xml:space="preserve">listed below.  </w:t>
      </w:r>
    </w:p>
    <w:p w:rsidR="00505725" w:rsidRDefault="00505725" w:rsidP="008A1FC1"/>
    <w:p w:rsidR="00505725" w:rsidRDefault="00505725" w:rsidP="008A1FC1">
      <w:r>
        <w:rPr>
          <w:noProof/>
          <w:lang w:eastAsia="zh-TW"/>
        </w:rPr>
        <w:pict>
          <v:shapetype id="_x0000_t202" coordsize="21600,21600" o:spt="202" path="m,l,21600r21600,l21600,xe">
            <v:stroke joinstyle="miter"/>
            <v:path gradientshapeok="t" o:connecttype="rect"/>
          </v:shapetype>
          <v:shape id="_x0000_s1047" type="#_x0000_t202" style="position:absolute;margin-left:-.5pt;margin-top:5.1pt;width:432.5pt;height:316.5pt;z-index:251673600;mso-width-relative:margin;mso-height-relative:margin" fillcolor="#d6e3bc [1302]" strokeweight="2.25pt">
            <v:shadow on="t" opacity=".5" offset="6pt,6pt"/>
            <v:textbox>
              <w:txbxContent>
                <w:p w:rsidR="008A1FC1" w:rsidRDefault="008A1FC1" w:rsidP="008A1FC1"/>
                <w:p w:rsidR="008A1FC1" w:rsidRDefault="008A1FC1" w:rsidP="008A1FC1">
                  <w:pPr>
                    <w:jc w:val="center"/>
                    <w:rPr>
                      <w:b/>
                    </w:rPr>
                  </w:pPr>
                  <w:r w:rsidRPr="00F425CB">
                    <w:rPr>
                      <w:b/>
                    </w:rPr>
                    <w:t>SAAC Program Assessment Standards</w:t>
                  </w:r>
                </w:p>
                <w:p w:rsidR="008A1FC1" w:rsidRPr="00F425CB" w:rsidRDefault="008A1FC1" w:rsidP="008A1FC1">
                  <w:pPr>
                    <w:jc w:val="center"/>
                    <w:rPr>
                      <w:b/>
                    </w:rPr>
                  </w:pPr>
                </w:p>
                <w:p w:rsidR="008A1FC1" w:rsidRDefault="008A1FC1" w:rsidP="008A1FC1">
                  <w:pPr>
                    <w:tabs>
                      <w:tab w:val="left" w:pos="1276"/>
                    </w:tabs>
                    <w:ind w:left="1276" w:hanging="1276"/>
                  </w:pPr>
                  <w:r>
                    <w:t>Standard1:</w:t>
                  </w:r>
                  <w:r>
                    <w:tab/>
                    <w:t xml:space="preserve">The program has an identified plan for evaluation and feedback to strengthen its educational outcomes. (Standard 1 criteria include, but are not limited to, program philosophy, program goals, program assessment plan, program outcomes, program revision.) </w:t>
                  </w:r>
                </w:p>
                <w:p w:rsidR="008A1FC1" w:rsidRDefault="008A1FC1" w:rsidP="008A1FC1"/>
                <w:p w:rsidR="008A1FC1" w:rsidRDefault="008A1FC1" w:rsidP="008A1FC1">
                  <w:pPr>
                    <w:tabs>
                      <w:tab w:val="left" w:pos="1276"/>
                    </w:tabs>
                    <w:ind w:left="1276" w:hanging="1276"/>
                  </w:pPr>
                  <w:r>
                    <w:t xml:space="preserve">Standard 2: </w:t>
                  </w:r>
                  <w:r>
                    <w:tab/>
                    <w:t>The program has the appropriate number of qualified faculty to accomplish its purposes and strengthen its educational effectiveness.  (Standard 2 criteria include, but are not limited to, faculty expertise, faculty evaluation, faculty orientation, and faculty utilization.)</w:t>
                  </w:r>
                </w:p>
                <w:p w:rsidR="008A1FC1" w:rsidRDefault="008A1FC1" w:rsidP="008A1FC1"/>
                <w:p w:rsidR="008A1FC1" w:rsidRDefault="008A1FC1" w:rsidP="008A1FC1">
                  <w:pPr>
                    <w:tabs>
                      <w:tab w:val="left" w:pos="1276"/>
                    </w:tabs>
                    <w:ind w:left="1276" w:hanging="1276"/>
                  </w:pPr>
                  <w:r>
                    <w:t xml:space="preserve">Standard 3: </w:t>
                  </w:r>
                  <w:r>
                    <w:tab/>
                    <w:t>The program uses the resources necessary to accomplish its goals.</w:t>
                  </w:r>
                  <w:r w:rsidRPr="005203B2">
                    <w:t xml:space="preserve"> </w:t>
                  </w:r>
                  <w:r>
                    <w:t xml:space="preserve"> (Standard 3 criteria include, but are not limited to, curriculum, pedagogy, facilities/equipment, support services, and program activities.)</w:t>
                  </w:r>
                </w:p>
                <w:p w:rsidR="008A1FC1" w:rsidRDefault="008A1FC1" w:rsidP="008A1FC1">
                  <w:pPr>
                    <w:tabs>
                      <w:tab w:val="left" w:pos="1276"/>
                    </w:tabs>
                    <w:ind w:left="1276" w:hanging="1276"/>
                  </w:pPr>
                </w:p>
                <w:p w:rsidR="008A1FC1" w:rsidRDefault="008A1FC1" w:rsidP="008A1FC1">
                  <w:pPr>
                    <w:tabs>
                      <w:tab w:val="left" w:pos="1276"/>
                    </w:tabs>
                    <w:ind w:left="1276" w:hanging="1276"/>
                  </w:pPr>
                  <w:r>
                    <w:t xml:space="preserve">Standard 4: </w:t>
                  </w:r>
                  <w:r>
                    <w:tab/>
                    <w:t>The program assures a teaching and learning environment conducive to student achievement.  (Standard 4 criteria include, but are not limited to, placement, advisement, recruitment, academic integrity, and policies/procedures.)</w:t>
                  </w:r>
                </w:p>
                <w:p w:rsidR="008A1FC1" w:rsidRDefault="008A1FC1" w:rsidP="008A1FC1"/>
              </w:txbxContent>
            </v:textbox>
          </v:shape>
        </w:pict>
      </w:r>
    </w:p>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05725" w:rsidRDefault="00505725" w:rsidP="008A1FC1"/>
    <w:p w:rsidR="005203B2" w:rsidRDefault="005203B2" w:rsidP="008A1FC1"/>
    <w:p w:rsidR="005203B2" w:rsidRDefault="005203B2" w:rsidP="005203B2"/>
    <w:p w:rsidR="008A1FC1" w:rsidRDefault="008A1FC1" w:rsidP="008A1FC1"/>
    <w:p w:rsidR="008A1FC1" w:rsidRDefault="008A1FC1" w:rsidP="008A1FC1">
      <w:r>
        <w:t xml:space="preserve">The primary goal of program assessment is to foster the continuous development and improvement in quality educational programs at ECC.  In the assessment process, all </w:t>
      </w:r>
      <w:r>
        <w:lastRenderedPageBreak/>
        <w:t>those involved in learning – faculty, students, and administrators – define what goals they are trying to achieve, examine how they are trying to achieve these goals, determine if their efforts to achieve these goals have been effective, and implement changes deemed necessary as a result of this process. Ongoing program assessment identifies what the program does well, determines the areas that need improvement, and develops plans to address the needed improvements.</w:t>
      </w:r>
    </w:p>
    <w:p w:rsidR="008A1FC1" w:rsidRDefault="008A1FC1" w:rsidP="008A1FC1"/>
    <w:p w:rsidR="008A1FC1" w:rsidRDefault="008A1FC1" w:rsidP="008A1FC1"/>
    <w:p w:rsidR="00F425CB" w:rsidRDefault="008A1FC1" w:rsidP="00667743">
      <w:r w:rsidRPr="005203B2">
        <w:rPr>
          <w:color w:val="FF0000"/>
        </w:rPr>
        <w:t>Click here</w:t>
      </w:r>
      <w:r>
        <w:t xml:space="preserve"> for a list that indicates the degree programs that undergo </w:t>
      </w:r>
      <w:r w:rsidRPr="005203B2">
        <w:rPr>
          <w:b/>
        </w:rPr>
        <w:t>external accreditation</w:t>
      </w:r>
      <w:r>
        <w:t xml:space="preserve"> and the degree programs that undergo </w:t>
      </w:r>
      <w:r w:rsidRPr="005203B2">
        <w:rPr>
          <w:b/>
        </w:rPr>
        <w:t>internal review</w:t>
      </w:r>
      <w:r>
        <w:t xml:space="preserve"> and gives the current </w:t>
      </w:r>
      <w:r w:rsidRPr="005203B2">
        <w:rPr>
          <w:b/>
        </w:rPr>
        <w:t>Program Assessment Schedule</w:t>
      </w:r>
      <w:r>
        <w:t xml:space="preserve">, which is determined cooperatively by Academic Affairs and the Office of Planning, Research, and Assessment.  For the degree programs undergoing internal assessment, the </w:t>
      </w:r>
      <w:r w:rsidR="005203B2" w:rsidRPr="008A1FC1">
        <w:t>Program Assessment</w:t>
      </w:r>
      <w:r>
        <w:t xml:space="preserve"> mu</w:t>
      </w:r>
      <w:r w:rsidR="005203B2" w:rsidRPr="008A1FC1">
        <w:t>s</w:t>
      </w:r>
      <w:r>
        <w:t>t follow the Administrative Procedure for Program Assessment and should be</w:t>
      </w:r>
      <w:r w:rsidR="005203B2" w:rsidRPr="008A1FC1">
        <w:t xml:space="preserve"> conducted according to </w:t>
      </w:r>
      <w:r>
        <w:t xml:space="preserve">pre-set Assessment Guidelines.  </w:t>
      </w:r>
      <w:r w:rsidRPr="008A1FC1">
        <w:rPr>
          <w:color w:val="FF0000"/>
        </w:rPr>
        <w:t>Click here</w:t>
      </w:r>
      <w:r>
        <w:t xml:space="preserve"> to access the </w:t>
      </w:r>
      <w:r w:rsidRPr="008A1FC1">
        <w:rPr>
          <w:b/>
          <w:bCs/>
        </w:rPr>
        <w:t>Program Assessment Handbook</w:t>
      </w:r>
      <w:r w:rsidR="003115A4">
        <w:t>, which describes in detail the expectations of and steps that must be taken to produce a comprehensive program evaluation</w:t>
      </w:r>
      <w:r>
        <w:t>.</w:t>
      </w:r>
    </w:p>
    <w:sectPr w:rsidR="00F425CB" w:rsidSect="005D6CC0">
      <w:head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341" w:rsidRDefault="00E86341" w:rsidP="00BC17F8">
      <w:r>
        <w:separator/>
      </w:r>
    </w:p>
  </w:endnote>
  <w:endnote w:type="continuationSeparator" w:id="0">
    <w:p w:rsidR="00E86341" w:rsidRDefault="00E86341" w:rsidP="00BC1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341" w:rsidRDefault="00E86341" w:rsidP="00BC17F8">
      <w:r>
        <w:separator/>
      </w:r>
    </w:p>
  </w:footnote>
  <w:footnote w:type="continuationSeparator" w:id="0">
    <w:p w:rsidR="00E86341" w:rsidRDefault="00E86341" w:rsidP="00BC17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F8" w:rsidRDefault="00BC17F8" w:rsidP="00E20230">
    <w:pPr>
      <w:pStyle w:val="Header"/>
      <w:jc w:val="center"/>
    </w:pPr>
    <w:r w:rsidRPr="00BC17F8">
      <w:rPr>
        <w:highlight w:val="yellow"/>
      </w:rPr>
      <w:t>* This text goes on the Home page of sloat.mathography.org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F8" w:rsidRDefault="00BC17F8" w:rsidP="00E20230">
    <w:pPr>
      <w:pStyle w:val="Header"/>
      <w:jc w:val="center"/>
    </w:pPr>
    <w:r w:rsidRPr="00BC17F8">
      <w:rPr>
        <w:highlight w:val="yellow"/>
      </w:rPr>
      <w:t>* This text goes on the Gen Ed page of sloat.mathography.org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CC0" w:rsidRDefault="005D6CC0" w:rsidP="00E20230">
    <w:pPr>
      <w:pStyle w:val="Header"/>
      <w:jc w:val="center"/>
    </w:pPr>
    <w:r w:rsidRPr="00BC17F8">
      <w:rPr>
        <w:highlight w:val="yellow"/>
      </w:rPr>
      <w:t xml:space="preserve">* This text goes on the </w:t>
    </w:r>
    <w:r>
      <w:rPr>
        <w:highlight w:val="yellow"/>
      </w:rPr>
      <w:t>Program</w:t>
    </w:r>
    <w:r w:rsidRPr="00BC17F8">
      <w:rPr>
        <w:highlight w:val="yellow"/>
      </w:rPr>
      <w:t xml:space="preserve"> page of sloat.mathography.org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EC3"/>
    <w:multiLevelType w:val="hybridMultilevel"/>
    <w:tmpl w:val="01D4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E5551A4"/>
    <w:multiLevelType w:val="hybridMultilevel"/>
    <w:tmpl w:val="92DC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1162C9"/>
    <w:multiLevelType w:val="hybridMultilevel"/>
    <w:tmpl w:val="66DA5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F3981"/>
    <w:rsid w:val="000E0FDA"/>
    <w:rsid w:val="0022191C"/>
    <w:rsid w:val="002E57B7"/>
    <w:rsid w:val="003115A4"/>
    <w:rsid w:val="004175BF"/>
    <w:rsid w:val="00446328"/>
    <w:rsid w:val="00455E16"/>
    <w:rsid w:val="004B3DAE"/>
    <w:rsid w:val="00505725"/>
    <w:rsid w:val="005203B2"/>
    <w:rsid w:val="005241DC"/>
    <w:rsid w:val="005861AD"/>
    <w:rsid w:val="005D6CC0"/>
    <w:rsid w:val="00667743"/>
    <w:rsid w:val="00681710"/>
    <w:rsid w:val="00702ED2"/>
    <w:rsid w:val="00732D55"/>
    <w:rsid w:val="007C7EA4"/>
    <w:rsid w:val="008A1FC1"/>
    <w:rsid w:val="00995A9F"/>
    <w:rsid w:val="009D66C0"/>
    <w:rsid w:val="009F3981"/>
    <w:rsid w:val="00A00E92"/>
    <w:rsid w:val="00BC17F8"/>
    <w:rsid w:val="00C30AC9"/>
    <w:rsid w:val="00CA25E0"/>
    <w:rsid w:val="00CD5C29"/>
    <w:rsid w:val="00D119F8"/>
    <w:rsid w:val="00DE128B"/>
    <w:rsid w:val="00E20230"/>
    <w:rsid w:val="00E86341"/>
    <w:rsid w:val="00F425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1302]" stroke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1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D66C0"/>
    <w:rPr>
      <w:rFonts w:ascii="Tahoma" w:hAnsi="Tahoma" w:cs="Tahoma"/>
      <w:sz w:val="16"/>
      <w:szCs w:val="16"/>
    </w:rPr>
  </w:style>
  <w:style w:type="character" w:customStyle="1" w:styleId="BalloonTextChar">
    <w:name w:val="Balloon Text Char"/>
    <w:basedOn w:val="DefaultParagraphFont"/>
    <w:link w:val="BalloonText"/>
    <w:rsid w:val="009D66C0"/>
    <w:rPr>
      <w:rFonts w:ascii="Tahoma" w:hAnsi="Tahoma" w:cs="Tahoma"/>
      <w:sz w:val="16"/>
      <w:szCs w:val="16"/>
    </w:rPr>
  </w:style>
  <w:style w:type="paragraph" w:styleId="Header">
    <w:name w:val="header"/>
    <w:basedOn w:val="Normal"/>
    <w:link w:val="HeaderChar"/>
    <w:rsid w:val="00BC17F8"/>
    <w:pPr>
      <w:tabs>
        <w:tab w:val="center" w:pos="4680"/>
        <w:tab w:val="right" w:pos="9360"/>
      </w:tabs>
    </w:pPr>
  </w:style>
  <w:style w:type="character" w:customStyle="1" w:styleId="HeaderChar">
    <w:name w:val="Header Char"/>
    <w:basedOn w:val="DefaultParagraphFont"/>
    <w:link w:val="Header"/>
    <w:rsid w:val="00BC17F8"/>
    <w:rPr>
      <w:sz w:val="24"/>
      <w:szCs w:val="24"/>
    </w:rPr>
  </w:style>
  <w:style w:type="paragraph" w:styleId="Footer">
    <w:name w:val="footer"/>
    <w:basedOn w:val="Normal"/>
    <w:link w:val="FooterChar"/>
    <w:rsid w:val="00BC17F8"/>
    <w:pPr>
      <w:tabs>
        <w:tab w:val="center" w:pos="4680"/>
        <w:tab w:val="right" w:pos="9360"/>
      </w:tabs>
    </w:pPr>
  </w:style>
  <w:style w:type="character" w:customStyle="1" w:styleId="FooterChar">
    <w:name w:val="Footer Char"/>
    <w:basedOn w:val="DefaultParagraphFont"/>
    <w:link w:val="Footer"/>
    <w:rsid w:val="00BC17F8"/>
    <w:rPr>
      <w:sz w:val="24"/>
      <w:szCs w:val="24"/>
    </w:rPr>
  </w:style>
  <w:style w:type="character" w:styleId="Hyperlink">
    <w:name w:val="Hyperlink"/>
    <w:basedOn w:val="DefaultParagraphFont"/>
    <w:rsid w:val="005241DC"/>
    <w:rPr>
      <w:color w:val="0000FF" w:themeColor="hyperlink"/>
      <w:u w:val="single"/>
    </w:rPr>
  </w:style>
  <w:style w:type="paragraph" w:styleId="ListParagraph">
    <w:name w:val="List Paragraph"/>
    <w:basedOn w:val="Normal"/>
    <w:uiPriority w:val="34"/>
    <w:qFormat/>
    <w:rsid w:val="00D119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edu" TargetMode="External"/><Relationship Id="rId5" Type="http://schemas.openxmlformats.org/officeDocument/2006/relationships/webSettings" Target="webSettings.xml"/><Relationship Id="rId10" Type="http://schemas.openxmlformats.org/officeDocument/2006/relationships/hyperlink" Target="http://www.njccc.org/gene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C46D-CFA7-4252-9791-B5BF011B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12</cp:revision>
  <cp:lastPrinted>2011-09-27T12:34:00Z</cp:lastPrinted>
  <dcterms:created xsi:type="dcterms:W3CDTF">2011-09-26T20:46:00Z</dcterms:created>
  <dcterms:modified xsi:type="dcterms:W3CDTF">2011-09-27T13:44:00Z</dcterms:modified>
</cp:coreProperties>
</file>