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41" w:rsidRPr="002E5370" w:rsidRDefault="00B75241" w:rsidP="002E5370">
      <w:pPr>
        <w:jc w:val="center"/>
        <w:rPr>
          <w:b/>
          <w:sz w:val="32"/>
          <w:szCs w:val="32"/>
        </w:rPr>
      </w:pPr>
      <w:r w:rsidRPr="002E5370">
        <w:rPr>
          <w:b/>
          <w:sz w:val="32"/>
          <w:szCs w:val="32"/>
        </w:rPr>
        <w:t>OPH</w:t>
      </w:r>
      <w:r w:rsidR="002E5370">
        <w:rPr>
          <w:b/>
          <w:sz w:val="32"/>
          <w:szCs w:val="32"/>
        </w:rPr>
        <w:t xml:space="preserve"> </w:t>
      </w:r>
      <w:r w:rsidRPr="002E5370">
        <w:rPr>
          <w:b/>
          <w:sz w:val="32"/>
          <w:szCs w:val="32"/>
        </w:rPr>
        <w:t>127</w:t>
      </w:r>
      <w:r w:rsidR="009867A8" w:rsidRPr="002E5370">
        <w:rPr>
          <w:b/>
          <w:sz w:val="32"/>
          <w:szCs w:val="32"/>
        </w:rPr>
        <w:t xml:space="preserve"> Student Learning Outcome</w:t>
      </w:r>
      <w:r w:rsidR="00FC65C8" w:rsidRPr="002E5370">
        <w:rPr>
          <w:b/>
          <w:sz w:val="32"/>
          <w:szCs w:val="32"/>
        </w:rPr>
        <w:t>s</w:t>
      </w:r>
      <w:r w:rsidRPr="002E5370">
        <w:rPr>
          <w:b/>
          <w:sz w:val="32"/>
          <w:szCs w:val="32"/>
        </w:rPr>
        <w:t xml:space="preserve"> </w:t>
      </w:r>
      <w:r w:rsidR="009867A8" w:rsidRPr="002E5370">
        <w:rPr>
          <w:b/>
          <w:sz w:val="32"/>
          <w:szCs w:val="32"/>
        </w:rPr>
        <w:t xml:space="preserve">Assessment </w:t>
      </w:r>
      <w:r w:rsidRPr="002E5370">
        <w:rPr>
          <w:b/>
          <w:sz w:val="32"/>
          <w:szCs w:val="32"/>
        </w:rPr>
        <w:t>Team</w:t>
      </w:r>
      <w:r w:rsidR="002E5370">
        <w:rPr>
          <w:b/>
          <w:sz w:val="32"/>
          <w:szCs w:val="32"/>
        </w:rPr>
        <w:t xml:space="preserve"> (SLOAT) </w:t>
      </w:r>
      <w:r w:rsidRPr="002E5370">
        <w:rPr>
          <w:b/>
          <w:sz w:val="32"/>
          <w:szCs w:val="32"/>
        </w:rPr>
        <w:t>Spring 2011 Final Report</w:t>
      </w:r>
      <w:r w:rsidR="00772CB0">
        <w:rPr>
          <w:b/>
          <w:sz w:val="32"/>
          <w:szCs w:val="32"/>
        </w:rPr>
        <w:t xml:space="preserve"> </w:t>
      </w:r>
      <w:r w:rsidRPr="002E5370">
        <w:rPr>
          <w:b/>
          <w:sz w:val="32"/>
          <w:szCs w:val="32"/>
        </w:rPr>
        <w:t>by Charles Harrison</w:t>
      </w:r>
    </w:p>
    <w:p w:rsidR="00B75241" w:rsidRPr="002E5370" w:rsidRDefault="00B75241" w:rsidP="00D04E52">
      <w:pPr>
        <w:ind w:left="-567"/>
        <w:jc w:val="center"/>
        <w:rPr>
          <w:b/>
          <w:sz w:val="32"/>
          <w:szCs w:val="32"/>
        </w:rPr>
      </w:pPr>
    </w:p>
    <w:p w:rsidR="00B75241" w:rsidRPr="002E5370" w:rsidRDefault="00B75241" w:rsidP="00D04E52">
      <w:pPr>
        <w:ind w:left="-567"/>
        <w:jc w:val="center"/>
        <w:rPr>
          <w:b/>
          <w:sz w:val="32"/>
          <w:szCs w:val="32"/>
        </w:rPr>
      </w:pPr>
    </w:p>
    <w:p w:rsidR="004F343E" w:rsidRPr="002E5370" w:rsidRDefault="004F343E" w:rsidP="00D04E52">
      <w:pPr>
        <w:ind w:left="-567"/>
        <w:jc w:val="center"/>
        <w:rPr>
          <w:b/>
          <w:sz w:val="32"/>
          <w:szCs w:val="32"/>
        </w:rPr>
      </w:pPr>
      <w:r w:rsidRPr="002E5370">
        <w:rPr>
          <w:b/>
          <w:sz w:val="32"/>
          <w:szCs w:val="32"/>
        </w:rPr>
        <w:t>&lt;&gt;&lt;&gt;&lt;&gt;&lt;&gt;&lt;&gt;&lt;&gt;&lt;&gt;&lt;&gt;&lt;&gt;&lt;&gt;&lt;&gt;&lt;&gt;&lt;&gt;&lt;&gt;&lt;&gt;&lt;&gt;&lt;&gt;</w:t>
      </w:r>
    </w:p>
    <w:p w:rsidR="009867A8" w:rsidRPr="002E5370" w:rsidRDefault="009867A8" w:rsidP="006F45D4">
      <w:pPr>
        <w:ind w:left="-567"/>
        <w:jc w:val="both"/>
      </w:pPr>
    </w:p>
    <w:p w:rsidR="004F343E" w:rsidRPr="002E5370" w:rsidRDefault="004F343E" w:rsidP="002E5370">
      <w:pPr>
        <w:jc w:val="both"/>
        <w:rPr>
          <w:b/>
          <w:sz w:val="32"/>
          <w:szCs w:val="32"/>
        </w:rPr>
      </w:pPr>
      <w:r w:rsidRPr="002E5370">
        <w:rPr>
          <w:b/>
          <w:sz w:val="32"/>
          <w:szCs w:val="32"/>
        </w:rPr>
        <w:t>Introduction</w:t>
      </w:r>
    </w:p>
    <w:p w:rsidR="00C27137" w:rsidRPr="002E5370" w:rsidRDefault="00C27137" w:rsidP="002E5370">
      <w:pPr>
        <w:jc w:val="both"/>
        <w:rPr>
          <w:b/>
          <w:sz w:val="32"/>
          <w:szCs w:val="32"/>
        </w:rPr>
      </w:pPr>
    </w:p>
    <w:p w:rsidR="00C27137" w:rsidRPr="002E5370" w:rsidRDefault="00C27137" w:rsidP="002E5370">
      <w:pPr>
        <w:jc w:val="both"/>
      </w:pPr>
      <w:r w:rsidRPr="002E5370">
        <w:t>OPH</w:t>
      </w:r>
      <w:r w:rsidR="002E5370" w:rsidRPr="002E5370">
        <w:t xml:space="preserve"> </w:t>
      </w:r>
      <w:r w:rsidRPr="002E5370">
        <w:t>127</w:t>
      </w:r>
      <w:r w:rsidR="002E5370" w:rsidRPr="002E5370">
        <w:t xml:space="preserve"> </w:t>
      </w:r>
      <w:r w:rsidRPr="002E5370">
        <w:t>Ophthalmic Materials II</w:t>
      </w:r>
      <w:r w:rsidR="002E5370" w:rsidRPr="002E5370">
        <w:t xml:space="preserve"> </w:t>
      </w:r>
      <w:r w:rsidR="001F6125" w:rsidRPr="002E5370">
        <w:t xml:space="preserve">is a course for </w:t>
      </w:r>
      <w:r w:rsidR="002E5370">
        <w:t>second-</w:t>
      </w:r>
      <w:r w:rsidR="001F6125" w:rsidRPr="002E5370">
        <w:t>semester</w:t>
      </w:r>
      <w:r w:rsidR="00970318" w:rsidRPr="002E5370">
        <w:t xml:space="preserve"> Vision Care Technology </w:t>
      </w:r>
      <w:r w:rsidR="001F6125" w:rsidRPr="002E5370">
        <w:t xml:space="preserve">majors, an </w:t>
      </w:r>
      <w:r w:rsidR="007F5858" w:rsidRPr="002E5370">
        <w:t xml:space="preserve">integral part of </w:t>
      </w:r>
      <w:r w:rsidR="002E5370">
        <w:t>the program</w:t>
      </w:r>
      <w:r w:rsidR="007F5858" w:rsidRPr="002E5370">
        <w:t xml:space="preserve"> </w:t>
      </w:r>
      <w:r w:rsidR="00970318" w:rsidRPr="002E5370">
        <w:t>curriculum,</w:t>
      </w:r>
      <w:r w:rsidR="007F5858" w:rsidRPr="002E5370">
        <w:t xml:space="preserve"> </w:t>
      </w:r>
      <w:r w:rsidR="00970318" w:rsidRPr="002E5370">
        <w:t>a continuation of OPH</w:t>
      </w:r>
      <w:r w:rsidR="002E5370">
        <w:t xml:space="preserve"> </w:t>
      </w:r>
      <w:r w:rsidR="00970318" w:rsidRPr="002E5370">
        <w:t>126 Ophthalmic Materials I</w:t>
      </w:r>
      <w:r w:rsidR="001F6125" w:rsidRPr="002E5370">
        <w:t xml:space="preserve">, and a prerequisite to </w:t>
      </w:r>
      <w:r w:rsidR="002E5370">
        <w:t>third-</w:t>
      </w:r>
      <w:r w:rsidR="001F6125" w:rsidRPr="002E5370">
        <w:t>semester Vision Care Technology courses.</w:t>
      </w:r>
    </w:p>
    <w:p w:rsidR="007F5858" w:rsidRPr="002E5370" w:rsidRDefault="007F5858" w:rsidP="002E5370">
      <w:pPr>
        <w:jc w:val="both"/>
        <w:rPr>
          <w:sz w:val="32"/>
          <w:szCs w:val="32"/>
        </w:rPr>
      </w:pPr>
    </w:p>
    <w:p w:rsidR="00482D55" w:rsidRPr="002E5370" w:rsidRDefault="00482D55" w:rsidP="002E5370">
      <w:pPr>
        <w:jc w:val="both"/>
        <w:rPr>
          <w:sz w:val="32"/>
          <w:szCs w:val="32"/>
        </w:rPr>
      </w:pPr>
    </w:p>
    <w:p w:rsidR="00482D55" w:rsidRPr="002E5370" w:rsidRDefault="00482D55" w:rsidP="002E5370">
      <w:pPr>
        <w:jc w:val="both"/>
        <w:rPr>
          <w:b/>
          <w:sz w:val="32"/>
          <w:szCs w:val="32"/>
        </w:rPr>
      </w:pPr>
      <w:r w:rsidRPr="002E5370">
        <w:rPr>
          <w:b/>
          <w:sz w:val="32"/>
          <w:szCs w:val="32"/>
        </w:rPr>
        <w:t>Assessment Plan</w:t>
      </w:r>
    </w:p>
    <w:p w:rsidR="00482D55" w:rsidRPr="002E5370" w:rsidRDefault="00482D55" w:rsidP="002E5370">
      <w:pPr>
        <w:jc w:val="both"/>
        <w:rPr>
          <w:b/>
          <w:sz w:val="32"/>
          <w:szCs w:val="32"/>
        </w:rPr>
      </w:pPr>
    </w:p>
    <w:p w:rsidR="00B94119" w:rsidRPr="002E5370" w:rsidRDefault="00B94119" w:rsidP="002E5370">
      <w:pPr>
        <w:jc w:val="both"/>
      </w:pPr>
      <w:r w:rsidRPr="002E5370">
        <w:t>The SLOAT Spring</w:t>
      </w:r>
      <w:r w:rsidR="002E5370">
        <w:t xml:space="preserve"> 2011 </w:t>
      </w:r>
      <w:r w:rsidRPr="002E5370">
        <w:t>OPH</w:t>
      </w:r>
      <w:r w:rsidR="002E5370">
        <w:t xml:space="preserve"> </w:t>
      </w:r>
      <w:r w:rsidRPr="002E5370">
        <w:t>127 Student Learning Outcome</w:t>
      </w:r>
      <w:r w:rsidR="002E5370">
        <w:t>s</w:t>
      </w:r>
      <w:r w:rsidRPr="002E5370">
        <w:t xml:space="preserve"> (SLO) assessment</w:t>
      </w:r>
      <w:r w:rsidR="002E5370">
        <w:t xml:space="preserve"> study</w:t>
      </w:r>
      <w:r w:rsidRPr="002E5370">
        <w:t xml:space="preserve"> focused on </w:t>
      </w:r>
      <w:r w:rsidR="002E5370">
        <w:t>C</w:t>
      </w:r>
      <w:r w:rsidRPr="002E5370">
        <w:t xml:space="preserve">ourse </w:t>
      </w:r>
      <w:r w:rsidR="002E5370">
        <w:t>G</w:t>
      </w:r>
      <w:r w:rsidRPr="002E5370">
        <w:t>oal 2</w:t>
      </w:r>
      <w:r w:rsidR="00927681" w:rsidRPr="002E5370">
        <w:t xml:space="preserve"> (</w:t>
      </w:r>
      <w:r w:rsidR="002E5370">
        <w:t>describe and</w:t>
      </w:r>
      <w:r w:rsidR="00927681" w:rsidRPr="002E5370">
        <w:t xml:space="preserve"> perform ophthalmic calculations)</w:t>
      </w:r>
      <w:r w:rsidRPr="002E5370">
        <w:t>.</w:t>
      </w:r>
    </w:p>
    <w:p w:rsidR="00927681" w:rsidRPr="002E5370" w:rsidRDefault="00927681" w:rsidP="002E5370">
      <w:pPr>
        <w:jc w:val="both"/>
      </w:pPr>
    </w:p>
    <w:p w:rsidR="00927681" w:rsidRPr="002E5370" w:rsidRDefault="002E5370" w:rsidP="002E5370">
      <w:pPr>
        <w:jc w:val="both"/>
      </w:pPr>
      <w:r>
        <w:t>All students from b</w:t>
      </w:r>
      <w:r w:rsidR="00927681" w:rsidRPr="002E5370">
        <w:t>oth sections</w:t>
      </w:r>
      <w:r w:rsidR="000F6D42" w:rsidRPr="002E5370">
        <w:t xml:space="preserve"> of the course were assessed </w:t>
      </w:r>
      <w:r>
        <w:t>in Spring 2011.  This resulted in</w:t>
      </w:r>
      <w:r w:rsidR="000F6D42" w:rsidRPr="002E5370">
        <w:t xml:space="preserve"> a sample size of 26 at the start of the semester and 24 at the end of the semester. </w:t>
      </w:r>
      <w:r>
        <w:t xml:space="preserve"> Multiple-choice questions were </w:t>
      </w:r>
      <w:r w:rsidR="000F6D42" w:rsidRPr="002E5370">
        <w:t xml:space="preserve">blueprinted </w:t>
      </w:r>
      <w:r>
        <w:t xml:space="preserve">to Measurable Course Performance Objectives (MPOs) related to Course Goal 2, thus making </w:t>
      </w:r>
      <w:r w:rsidR="000F6D42" w:rsidRPr="002E5370">
        <w:t>the assessment completely objective.</w:t>
      </w:r>
    </w:p>
    <w:p w:rsidR="00424DDE" w:rsidRPr="002E5370" w:rsidRDefault="00424DDE" w:rsidP="002E5370">
      <w:pPr>
        <w:jc w:val="both"/>
      </w:pPr>
    </w:p>
    <w:p w:rsidR="00424DDE" w:rsidRPr="002E5370" w:rsidRDefault="002E5370" w:rsidP="002E5370">
      <w:pPr>
        <w:jc w:val="both"/>
      </w:pPr>
      <w:r>
        <w:t xml:space="preserve">Of the </w:t>
      </w:r>
      <w:r w:rsidR="00424DDE" w:rsidRPr="002E5370">
        <w:t xml:space="preserve">9 MPOs </w:t>
      </w:r>
      <w:r>
        <w:t xml:space="preserve">related to course goal 2, student mastery of </w:t>
      </w:r>
      <w:r w:rsidR="00424DDE" w:rsidRPr="002E5370">
        <w:t xml:space="preserve">3 </w:t>
      </w:r>
      <w:r>
        <w:t>of the MPOs was</w:t>
      </w:r>
      <w:r w:rsidR="00424DDE" w:rsidRPr="002E5370">
        <w:t xml:space="preserve"> evaluated </w:t>
      </w:r>
      <w:r>
        <w:t xml:space="preserve">on Test 1 at week 6, student mastery of 3 more of the MPOs was </w:t>
      </w:r>
      <w:r w:rsidR="00424DDE" w:rsidRPr="002E5370">
        <w:t xml:space="preserve">evaluated </w:t>
      </w:r>
      <w:r>
        <w:t xml:space="preserve">on Test 2 at week 10, and student mastery of the final 3 MPOs was evaluated on </w:t>
      </w:r>
      <w:r w:rsidR="00424DDE" w:rsidRPr="002E5370">
        <w:t>Test 3 at week 14.</w:t>
      </w:r>
      <w:r>
        <w:t xml:space="preserve">  Student achievement of all</w:t>
      </w:r>
      <w:r w:rsidR="00424DDE" w:rsidRPr="002E5370">
        <w:t xml:space="preserve"> 9 MPOs w</w:t>
      </w:r>
      <w:r>
        <w:t>as</w:t>
      </w:r>
      <w:r w:rsidR="00424DDE" w:rsidRPr="002E5370">
        <w:t xml:space="preserve"> re</w:t>
      </w:r>
      <w:r w:rsidR="00C12805" w:rsidRPr="002E5370">
        <w:t xml:space="preserve">-evaluated </w:t>
      </w:r>
      <w:r>
        <w:t>o</w:t>
      </w:r>
      <w:r w:rsidR="00C12805" w:rsidRPr="002E5370">
        <w:t>n the Final Exam at week 15.</w:t>
      </w:r>
    </w:p>
    <w:p w:rsidR="002E5370" w:rsidRDefault="002E5370" w:rsidP="002E5370">
      <w:pPr>
        <w:ind w:hanging="720"/>
        <w:jc w:val="both"/>
        <w:rPr>
          <w:b/>
          <w:sz w:val="32"/>
          <w:szCs w:val="32"/>
        </w:rPr>
      </w:pPr>
    </w:p>
    <w:p w:rsidR="00247E05" w:rsidRDefault="00247E05" w:rsidP="002E5370">
      <w:pPr>
        <w:ind w:hanging="720"/>
        <w:jc w:val="both"/>
        <w:rPr>
          <w:b/>
          <w:sz w:val="32"/>
          <w:szCs w:val="32"/>
        </w:rPr>
      </w:pPr>
    </w:p>
    <w:p w:rsidR="00247E05" w:rsidRPr="002E5370" w:rsidRDefault="00247E05" w:rsidP="00247E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Findings</w:t>
      </w:r>
    </w:p>
    <w:p w:rsidR="00247E05" w:rsidRPr="002E5370" w:rsidRDefault="00247E05" w:rsidP="00247E05">
      <w:pPr>
        <w:jc w:val="both"/>
        <w:rPr>
          <w:b/>
          <w:sz w:val="32"/>
          <w:szCs w:val="32"/>
        </w:rPr>
      </w:pPr>
    </w:p>
    <w:p w:rsidR="00FE6A78" w:rsidRDefault="00247E05" w:rsidP="007E5602">
      <w:pPr>
        <w:jc w:val="both"/>
      </w:pPr>
      <w:r w:rsidRPr="002E5370">
        <w:t xml:space="preserve">The </w:t>
      </w:r>
      <w:r>
        <w:t xml:space="preserve">table given on the next page details the results of student mastery of the </w:t>
      </w:r>
      <w:r w:rsidR="00FE6A78">
        <w:t>9 various components (specific learning content) included in the 6</w:t>
      </w:r>
      <w:r>
        <w:t xml:space="preserve"> MPOs</w:t>
      </w:r>
      <w:r w:rsidR="00FE6A78">
        <w:t>.  These results include student performance level</w:t>
      </w:r>
      <w:r>
        <w:t xml:space="preserve"> on the 3 tests and final exam</w:t>
      </w:r>
      <w:r w:rsidR="00B63C8C">
        <w:t xml:space="preserve"> both individually and cumulatively</w:t>
      </w:r>
      <w:r w:rsidRPr="002E5370">
        <w:t>.</w:t>
      </w:r>
      <w:r>
        <w:t xml:space="preserve">  </w:t>
      </w:r>
      <w:r w:rsidR="007E5602">
        <w:t xml:space="preserve">Overall, students achieved 4 of the 9 learning objective components in the course.  This content included CROSS CYLS (90% student achievement), SPLIT PRISM (84% student achievement), EFFECT THICK/N (80% student achievement), and RESULT PRISM (78% student achievement).  However, less than 70% of students were able to show competence of the following 5 learning objective components: </w:t>
      </w:r>
      <w:r w:rsidR="00FE6A78">
        <w:t xml:space="preserve">SPHERE EQUIV </w:t>
      </w:r>
      <w:r w:rsidR="007E5602">
        <w:t xml:space="preserve">(68% student achievement), EFFECT/COMP, VD (67% student achievement), OBJECT DISPLACE (58% student achievement), SHOP PRISM (54% student achievement), and SAG (48% student achievement).  </w:t>
      </w:r>
    </w:p>
    <w:p w:rsidR="00E852D1" w:rsidRDefault="001B2D1D" w:rsidP="00E852D1">
      <w:pPr>
        <w:jc w:val="both"/>
      </w:pPr>
      <w:r>
        <w:lastRenderedPageBreak/>
        <w:t xml:space="preserve">Although </w:t>
      </w:r>
      <w:r w:rsidR="00FE6A78">
        <w:t xml:space="preserve">SPHERE EQUIV had an overall </w:t>
      </w:r>
      <w:r>
        <w:t>student achievement level</w:t>
      </w:r>
      <w:r w:rsidR="00FE6A78">
        <w:t xml:space="preserve"> of 68%</w:t>
      </w:r>
      <w:r>
        <w:t xml:space="preserve"> as was stated above, it is important to note that </w:t>
      </w:r>
      <w:r w:rsidR="00FE6A78">
        <w:t xml:space="preserve">the preliminary </w:t>
      </w:r>
      <w:r>
        <w:t xml:space="preserve">level of student mastery of this topic </w:t>
      </w:r>
      <w:r w:rsidR="00FE6A78">
        <w:t xml:space="preserve">was </w:t>
      </w:r>
      <w:r w:rsidR="00E852D1">
        <w:t>a very low</w:t>
      </w:r>
      <w:r>
        <w:t xml:space="preserve"> </w:t>
      </w:r>
      <w:r w:rsidR="00FE6A78">
        <w:t>46%</w:t>
      </w:r>
      <w:r>
        <w:t xml:space="preserve">.  </w:t>
      </w:r>
      <w:r w:rsidR="00E852D1">
        <w:t xml:space="preserve">Soon after the second test (on which the SPHERE EQUIV SLO data was collected) </w:t>
      </w:r>
      <w:r>
        <w:t xml:space="preserve">instructor intervention – in the form of a comprehensive in-class review of this course material – occurred with a </w:t>
      </w:r>
      <w:r w:rsidR="00E852D1">
        <w:t xml:space="preserve">very </w:t>
      </w:r>
      <w:r>
        <w:t xml:space="preserve">positive outcome, which is evidenced by the </w:t>
      </w:r>
      <w:r w:rsidR="00E852D1">
        <w:t xml:space="preserve">fact that </w:t>
      </w:r>
      <w:r w:rsidR="00FE6A78">
        <w:t>92%</w:t>
      </w:r>
      <w:r>
        <w:t xml:space="preserve"> </w:t>
      </w:r>
      <w:r w:rsidR="00E852D1">
        <w:t xml:space="preserve">of the OPH 127 </w:t>
      </w:r>
      <w:r>
        <w:t>student</w:t>
      </w:r>
      <w:r w:rsidR="00E852D1">
        <w:t>s</w:t>
      </w:r>
      <w:r>
        <w:t xml:space="preserve"> a</w:t>
      </w:r>
      <w:r w:rsidR="00E852D1">
        <w:t>nswered a question related to this course material correctly on</w:t>
      </w:r>
      <w:r>
        <w:t xml:space="preserve"> the final exam</w:t>
      </w:r>
      <w:r w:rsidR="00E852D1">
        <w:t>.</w:t>
      </w:r>
    </w:p>
    <w:p w:rsidR="00E852D1" w:rsidRDefault="00E852D1" w:rsidP="00E852D1">
      <w:pPr>
        <w:jc w:val="both"/>
      </w:pPr>
    </w:p>
    <w:p w:rsidR="00FE6A78" w:rsidRDefault="00E852D1" w:rsidP="00D71882">
      <w:pPr>
        <w:jc w:val="both"/>
      </w:pPr>
      <w:r>
        <w:t xml:space="preserve">In contrast to this very positive improvement in student performance on SPHERE EQUIV from Test 2 to the final exam, students struggled with SAG throughout the semester despite instructor attempts to address student underperformance on this topic.  While only 50% of the students answered a question related to this course material correctly on Test 1, even fewer (46%) </w:t>
      </w:r>
      <w:r w:rsidRPr="00D71882">
        <w:t xml:space="preserve">answered a similar question correctly on the final exam.  This could perhaps be explained simply to the difficulty level of this topic.  Similarly, student performance on the learning objective components </w:t>
      </w:r>
      <w:r w:rsidR="00FE6A78" w:rsidRPr="00D71882">
        <w:t>SHOP PRISM, OBJECT DISPLACE, and EFFECT / COMP</w:t>
      </w:r>
      <w:r w:rsidRPr="00D71882">
        <w:t>,</w:t>
      </w:r>
      <w:r w:rsidR="00FE6A78" w:rsidRPr="00D71882">
        <w:t xml:space="preserve"> VD showed improvement from preliminary</w:t>
      </w:r>
      <w:r w:rsidR="00D71882" w:rsidRPr="00D71882">
        <w:t xml:space="preserve"> testing</w:t>
      </w:r>
      <w:r w:rsidR="00FE6A78" w:rsidRPr="00D71882">
        <w:t xml:space="preserve"> to final </w:t>
      </w:r>
      <w:r w:rsidR="00D71882" w:rsidRPr="00D71882">
        <w:t xml:space="preserve">exam, </w:t>
      </w:r>
      <w:r w:rsidR="00FE6A78" w:rsidRPr="00D71882">
        <w:t xml:space="preserve">but not as much </w:t>
      </w:r>
      <w:r w:rsidR="00D71882" w:rsidRPr="00D71882">
        <w:t>improvement as desired.  To address these student learning difficulties in order to improve the OPH 127 course, a committee</w:t>
      </w:r>
      <w:r w:rsidR="00FE6A78" w:rsidRPr="00D71882">
        <w:t xml:space="preserve"> will be form</w:t>
      </w:r>
      <w:r w:rsidR="00D71882" w:rsidRPr="00D71882">
        <w:t>ed</w:t>
      </w:r>
      <w:r w:rsidR="00FE6A78" w:rsidRPr="00D71882">
        <w:t xml:space="preserve"> within the Vision Care Technology Dep</w:t>
      </w:r>
      <w:r w:rsidR="00D71882" w:rsidRPr="00D71882">
        <w:t>artment</w:t>
      </w:r>
      <w:r w:rsidR="00FE6A78" w:rsidRPr="00D71882">
        <w:t xml:space="preserve"> to compare </w:t>
      </w:r>
      <w:r w:rsidR="00D71882" w:rsidRPr="00D71882">
        <w:t>existing and/or create new pedagogical</w:t>
      </w:r>
      <w:r w:rsidR="00FE6A78" w:rsidRPr="00D71882">
        <w:t xml:space="preserve"> approaches </w:t>
      </w:r>
      <w:r w:rsidR="00D71882" w:rsidRPr="00D71882">
        <w:t>to</w:t>
      </w:r>
      <w:r w:rsidR="00FE6A78" w:rsidRPr="00D71882">
        <w:t xml:space="preserve"> these topics. </w:t>
      </w:r>
      <w:r w:rsidR="00D71882" w:rsidRPr="00D71882">
        <w:t>Specifically, t</w:t>
      </w:r>
      <w:r w:rsidR="00FE6A78" w:rsidRPr="00D71882">
        <w:t xml:space="preserve">his committee will </w:t>
      </w:r>
      <w:r w:rsidR="00D71882" w:rsidRPr="00D71882">
        <w:t xml:space="preserve">be charged with </w:t>
      </w:r>
      <w:r w:rsidR="00FE6A78" w:rsidRPr="00D71882">
        <w:t>generat</w:t>
      </w:r>
      <w:r w:rsidR="00D71882" w:rsidRPr="00D71882">
        <w:t>ing suggested</w:t>
      </w:r>
      <w:r w:rsidR="00FE6A78" w:rsidRPr="00D71882">
        <w:t xml:space="preserve"> ways to revise the methodologies utilized in the instruction of these topics.</w:t>
      </w:r>
    </w:p>
    <w:p w:rsidR="00FE6A78" w:rsidRDefault="00FE6A78" w:rsidP="00FE6A78">
      <w:pPr>
        <w:jc w:val="both"/>
      </w:pPr>
    </w:p>
    <w:p w:rsidR="00247E05" w:rsidRDefault="00247E05" w:rsidP="00247E05">
      <w:pPr>
        <w:jc w:val="both"/>
      </w:pPr>
    </w:p>
    <w:p w:rsidR="00B63C8C" w:rsidRDefault="00B63C8C" w:rsidP="00247E05">
      <w:pPr>
        <w:jc w:val="both"/>
        <w:sectPr w:rsidR="00B63C8C" w:rsidSect="002E5370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63C8C" w:rsidRDefault="00B63C8C" w:rsidP="00B63C8C">
      <w:pPr>
        <w:jc w:val="center"/>
        <w:rPr>
          <w:b/>
        </w:rPr>
      </w:pPr>
      <w:r w:rsidRPr="00B63C8C">
        <w:rPr>
          <w:b/>
        </w:rPr>
        <w:lastRenderedPageBreak/>
        <w:t>Spring 2011 Results of Student Mastery of the 9 MPOs Related to OPH 127 Course Goal 2</w:t>
      </w:r>
    </w:p>
    <w:p w:rsidR="00B63C8C" w:rsidRDefault="00B63C8C" w:rsidP="00B63C8C">
      <w:pPr>
        <w:jc w:val="center"/>
        <w:rPr>
          <w:b/>
        </w:rPr>
      </w:pPr>
    </w:p>
    <w:p w:rsidR="00B63C8C" w:rsidRPr="00B63C8C" w:rsidRDefault="00B63C8C" w:rsidP="00B63C8C">
      <w:pPr>
        <w:jc w:val="center"/>
        <w:rPr>
          <w:b/>
        </w:rPr>
      </w:pPr>
    </w:p>
    <w:p w:rsidR="00B63C8C" w:rsidRPr="00B63C8C" w:rsidRDefault="00B63C8C" w:rsidP="00247E05">
      <w:pPr>
        <w:jc w:val="both"/>
        <w:rPr>
          <w:b/>
        </w:rPr>
      </w:pPr>
    </w:p>
    <w:tbl>
      <w:tblPr>
        <w:tblStyle w:val="TableGrid"/>
        <w:tblW w:w="13527" w:type="dxa"/>
        <w:tblLook w:val="04A0"/>
      </w:tblPr>
      <w:tblGrid>
        <w:gridCol w:w="1066"/>
        <w:gridCol w:w="1263"/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086"/>
      </w:tblGrid>
      <w:tr w:rsidR="00E05919" w:rsidTr="00B63C8C">
        <w:trPr>
          <w:trHeight w:val="558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b/>
                <w:sz w:val="18"/>
                <w:szCs w:val="18"/>
              </w:rPr>
            </w:pPr>
            <w:r w:rsidRPr="00247E05">
              <w:rPr>
                <w:b/>
                <w:sz w:val="18"/>
                <w:szCs w:val="18"/>
              </w:rPr>
              <w:t>MPO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SAG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SHOP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PRISM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SPLIT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PRISM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CROSS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CYLS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SPHERE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EQUIV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OBJECT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DISPLACE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RESULT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PRISM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EFFECT</w:t>
            </w:r>
          </w:p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THICK/N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6"/>
                <w:szCs w:val="16"/>
              </w:rPr>
            </w:pPr>
            <w:r w:rsidRPr="00247E05">
              <w:rPr>
                <w:sz w:val="16"/>
                <w:szCs w:val="16"/>
              </w:rPr>
              <w:t>EFFECT/ COMP, VD</w:t>
            </w:r>
          </w:p>
        </w:tc>
        <w:tc>
          <w:tcPr>
            <w:tcW w:w="10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b/>
                <w:sz w:val="18"/>
                <w:szCs w:val="18"/>
              </w:rPr>
            </w:pPr>
            <w:r w:rsidRPr="00247E05">
              <w:rPr>
                <w:b/>
                <w:sz w:val="18"/>
                <w:szCs w:val="18"/>
              </w:rPr>
              <w:t>TOTALS</w:t>
            </w:r>
          </w:p>
        </w:tc>
      </w:tr>
      <w:tr w:rsidR="00B63C8C" w:rsidTr="00B63C8C">
        <w:trPr>
          <w:trHeight w:val="92"/>
        </w:trPr>
        <w:tc>
          <w:tcPr>
            <w:tcW w:w="1244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3C8C" w:rsidRDefault="00B63C8C" w:rsidP="00247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63C8C" w:rsidRPr="00247E05" w:rsidRDefault="00B63C8C" w:rsidP="00247E05">
            <w:pPr>
              <w:jc w:val="both"/>
              <w:rPr>
                <w:sz w:val="18"/>
                <w:szCs w:val="18"/>
              </w:rPr>
            </w:pPr>
          </w:p>
        </w:tc>
      </w:tr>
      <w:tr w:rsidR="00E05919" w:rsidTr="00B63C8C">
        <w:trPr>
          <w:trHeight w:val="322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  <w:r w:rsidRPr="00247E05">
              <w:rPr>
                <w:sz w:val="18"/>
                <w:szCs w:val="18"/>
              </w:rPr>
              <w:t>Assessment Instrument</w:t>
            </w:r>
            <w:r>
              <w:rPr>
                <w:sz w:val="18"/>
                <w:szCs w:val="18"/>
              </w:rPr>
              <w:t>/</w:t>
            </w:r>
          </w:p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 #</w:t>
            </w:r>
          </w:p>
        </w:tc>
        <w:tc>
          <w:tcPr>
            <w:tcW w:w="37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1</w:t>
            </w:r>
          </w:p>
        </w:tc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2</w:t>
            </w:r>
          </w:p>
        </w:tc>
        <w:tc>
          <w:tcPr>
            <w:tcW w:w="3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3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247E05">
            <w:pPr>
              <w:jc w:val="both"/>
              <w:rPr>
                <w:sz w:val="18"/>
                <w:szCs w:val="18"/>
              </w:rPr>
            </w:pPr>
          </w:p>
        </w:tc>
      </w:tr>
      <w:tr w:rsidR="00B63C8C" w:rsidTr="00B63C8C">
        <w:tc>
          <w:tcPr>
            <w:tcW w:w="1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#9</w:t>
            </w:r>
          </w:p>
        </w:tc>
        <w:tc>
          <w:tcPr>
            <w:tcW w:w="1264" w:type="dxa"/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#16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#17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#2</w:t>
            </w:r>
          </w:p>
        </w:tc>
        <w:tc>
          <w:tcPr>
            <w:tcW w:w="1264" w:type="dxa"/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#4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#4</w:t>
            </w:r>
          </w:p>
        </w:tc>
        <w:tc>
          <w:tcPr>
            <w:tcW w:w="1264" w:type="dxa"/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#5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#6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</w:p>
        </w:tc>
      </w:tr>
      <w:tr w:rsidR="00E05919" w:rsidTr="00B63C8C"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7E05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Students Answering Correctly</w:t>
            </w: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E05" w:rsidRPr="00247E05" w:rsidRDefault="00247E05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0591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of </w:t>
            </w:r>
            <w:r w:rsidR="00E0591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 (</w:t>
            </w:r>
            <w:r w:rsidR="00E0591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47E0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2</w:t>
            </w:r>
            <w:r w:rsidR="00247E05">
              <w:rPr>
                <w:sz w:val="18"/>
                <w:szCs w:val="18"/>
              </w:rPr>
              <w:t>6</w:t>
            </w:r>
          </w:p>
          <w:p w:rsidR="00247E05" w:rsidRPr="00247E05" w:rsidRDefault="00247E05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5919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247E0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2</w:t>
            </w:r>
            <w:r w:rsidR="00247E05">
              <w:rPr>
                <w:sz w:val="18"/>
                <w:szCs w:val="18"/>
              </w:rPr>
              <w:t>6</w:t>
            </w:r>
          </w:p>
          <w:p w:rsidR="00247E05" w:rsidRPr="00247E05" w:rsidRDefault="00247E05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5919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47E0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2</w:t>
            </w:r>
            <w:r w:rsidR="00247E05">
              <w:rPr>
                <w:sz w:val="18"/>
                <w:szCs w:val="18"/>
              </w:rPr>
              <w:t>6</w:t>
            </w:r>
          </w:p>
          <w:p w:rsidR="00247E05" w:rsidRPr="00247E05" w:rsidRDefault="00247E05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5919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47E0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2</w:t>
            </w:r>
            <w:r w:rsidR="00247E05">
              <w:rPr>
                <w:sz w:val="18"/>
                <w:szCs w:val="18"/>
              </w:rPr>
              <w:t>6</w:t>
            </w:r>
          </w:p>
          <w:p w:rsidR="00247E05" w:rsidRPr="00247E05" w:rsidRDefault="00247E05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5919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47E05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2</w:t>
            </w:r>
            <w:r w:rsidR="00247E05">
              <w:rPr>
                <w:sz w:val="18"/>
                <w:szCs w:val="18"/>
              </w:rPr>
              <w:t>6</w:t>
            </w:r>
          </w:p>
          <w:p w:rsidR="00247E05" w:rsidRPr="00247E05" w:rsidRDefault="00247E05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05919">
              <w:rPr>
                <w:sz w:val="18"/>
                <w:szCs w:val="18"/>
              </w:rPr>
              <w:t>50</w:t>
            </w:r>
            <w:r>
              <w:rPr>
                <w:sz w:val="18"/>
                <w:szCs w:val="18"/>
              </w:rPr>
              <w:t>%)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of 25</w:t>
            </w:r>
          </w:p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(88%)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of 25</w:t>
            </w:r>
          </w:p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(80%)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of 25</w:t>
            </w:r>
          </w:p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(64%)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 of 231</w:t>
            </w:r>
          </w:p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(66%)</w:t>
            </w:r>
          </w:p>
        </w:tc>
      </w:tr>
      <w:tr w:rsidR="00B63C8C" w:rsidTr="00B63C8C">
        <w:trPr>
          <w:trHeight w:val="215"/>
        </w:trPr>
        <w:tc>
          <w:tcPr>
            <w:tcW w:w="1352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63C8C" w:rsidRPr="00247E05" w:rsidRDefault="00B63C8C" w:rsidP="00247E05">
            <w:pPr>
              <w:jc w:val="center"/>
              <w:rPr>
                <w:sz w:val="18"/>
                <w:szCs w:val="18"/>
              </w:rPr>
            </w:pPr>
          </w:p>
        </w:tc>
      </w:tr>
      <w:tr w:rsidR="00E05919" w:rsidTr="00B63C8C">
        <w:trPr>
          <w:trHeight w:val="311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5919" w:rsidRPr="00247E05" w:rsidRDefault="005A00DC" w:rsidP="009B34F3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5A00DC">
              <w:rPr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57pt;margin-top:12.6pt;width:26.25pt;height:81pt;z-index:251660288;mso-position-horizontal-relative:text;mso-position-vertical-relative:text;mso-width-relative:margin;mso-height-relative:margin" stroked="f">
                  <v:textbox style="layout-flow:vertical">
                    <w:txbxContent>
                      <w:p w:rsidR="00B63C8C" w:rsidRPr="00B63C8C" w:rsidRDefault="00B63C8C" w:rsidP="00B63C8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B63C8C">
                          <w:rPr>
                            <w:sz w:val="20"/>
                            <w:szCs w:val="20"/>
                          </w:rPr>
                          <w:t>OPH 127 – 2</w:t>
                        </w:r>
                      </w:p>
                    </w:txbxContent>
                  </v:textbox>
                </v:shape>
              </w:pict>
            </w:r>
            <w:r w:rsidR="00E05919" w:rsidRPr="00247E05">
              <w:rPr>
                <w:sz w:val="18"/>
                <w:szCs w:val="18"/>
              </w:rPr>
              <w:t>Assessment Instrument</w:t>
            </w:r>
            <w:r w:rsidR="00E05919">
              <w:rPr>
                <w:sz w:val="18"/>
                <w:szCs w:val="18"/>
              </w:rPr>
              <w:t>/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Question #</w:t>
            </w:r>
          </w:p>
        </w:tc>
        <w:tc>
          <w:tcPr>
            <w:tcW w:w="1137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Exam</w:t>
            </w:r>
          </w:p>
        </w:tc>
        <w:tc>
          <w:tcPr>
            <w:tcW w:w="108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247E05">
            <w:pPr>
              <w:jc w:val="center"/>
              <w:rPr>
                <w:sz w:val="18"/>
                <w:szCs w:val="18"/>
              </w:rPr>
            </w:pPr>
          </w:p>
        </w:tc>
      </w:tr>
      <w:tr w:rsidR="00E05919" w:rsidTr="00B63C8C">
        <w:tc>
          <w:tcPr>
            <w:tcW w:w="10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12" w:space="0" w:color="auto"/>
            </w:tcBorders>
            <w:vAlign w:val="center"/>
          </w:tcPr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#7</w:t>
            </w:r>
          </w:p>
        </w:tc>
        <w:tc>
          <w:tcPr>
            <w:tcW w:w="1264" w:type="dxa"/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#8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#9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#10</w:t>
            </w:r>
          </w:p>
        </w:tc>
        <w:tc>
          <w:tcPr>
            <w:tcW w:w="1264" w:type="dxa"/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#11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#12</w:t>
            </w:r>
          </w:p>
        </w:tc>
        <w:tc>
          <w:tcPr>
            <w:tcW w:w="1264" w:type="dxa"/>
            <w:tcBorders>
              <w:lef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#13</w:t>
            </w:r>
          </w:p>
        </w:tc>
        <w:tc>
          <w:tcPr>
            <w:tcW w:w="1264" w:type="dxa"/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#14</w:t>
            </w:r>
          </w:p>
        </w:tc>
        <w:tc>
          <w:tcPr>
            <w:tcW w:w="1264" w:type="dxa"/>
            <w:tcBorders>
              <w:right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#15</w:t>
            </w:r>
          </w:p>
        </w:tc>
        <w:tc>
          <w:tcPr>
            <w:tcW w:w="10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</w:p>
        </w:tc>
      </w:tr>
      <w:tr w:rsidR="00E05919" w:rsidTr="00B63C8C">
        <w:tc>
          <w:tcPr>
            <w:tcW w:w="10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Students Answering Correctly</w:t>
            </w: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of 24 (46%)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of 24</w:t>
            </w:r>
          </w:p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(67%)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(83%)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(92%)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(92%)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(67%)</w:t>
            </w:r>
          </w:p>
        </w:tc>
        <w:tc>
          <w:tcPr>
            <w:tcW w:w="12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(67%)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(79%)</w:t>
            </w:r>
          </w:p>
        </w:tc>
        <w:tc>
          <w:tcPr>
            <w:tcW w:w="12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of 24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(71%)</w:t>
            </w:r>
          </w:p>
        </w:tc>
        <w:tc>
          <w:tcPr>
            <w:tcW w:w="10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5919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of 216</w:t>
            </w:r>
          </w:p>
          <w:p w:rsidR="00E05919" w:rsidRPr="00247E05" w:rsidRDefault="00E05919" w:rsidP="009B3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(74%)</w:t>
            </w:r>
          </w:p>
        </w:tc>
      </w:tr>
      <w:tr w:rsidR="00B63C8C" w:rsidTr="00B63C8C">
        <w:trPr>
          <w:trHeight w:val="183"/>
        </w:trPr>
        <w:tc>
          <w:tcPr>
            <w:tcW w:w="13527" w:type="dxa"/>
            <w:gridSpan w:val="11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C8C" w:rsidRDefault="00B63C8C" w:rsidP="00E05919">
            <w:pPr>
              <w:jc w:val="center"/>
              <w:rPr>
                <w:sz w:val="18"/>
                <w:szCs w:val="18"/>
              </w:rPr>
            </w:pPr>
          </w:p>
        </w:tc>
      </w:tr>
      <w:tr w:rsidR="00E05919" w:rsidTr="00B63C8C">
        <w:trPr>
          <w:trHeight w:val="389"/>
        </w:trPr>
        <w:tc>
          <w:tcPr>
            <w:tcW w:w="1352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Combined Results</w:t>
            </w:r>
          </w:p>
        </w:tc>
      </w:tr>
      <w:tr w:rsidR="00E05919" w:rsidTr="00B63C8C"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5919" w:rsidRPr="00247E05" w:rsidRDefault="00E05919" w:rsidP="00E059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of Students Answering Correctly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of 50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(48%)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of 50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(54%)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of 50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(84%)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of 50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(90%)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of 50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(68%)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of 50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(58%)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of 49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(78%)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of 49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(80%)</w:t>
            </w:r>
          </w:p>
        </w:tc>
        <w:tc>
          <w:tcPr>
            <w:tcW w:w="12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of 49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(67%)</w:t>
            </w:r>
          </w:p>
        </w:tc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5919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 of 447</w:t>
            </w:r>
          </w:p>
          <w:p w:rsidR="00B63C8C" w:rsidRPr="00247E05" w:rsidRDefault="00B63C8C" w:rsidP="00B63C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(70%)</w:t>
            </w:r>
          </w:p>
        </w:tc>
      </w:tr>
    </w:tbl>
    <w:p w:rsidR="00247E05" w:rsidRPr="002E5370" w:rsidRDefault="00247E05" w:rsidP="00247E05">
      <w:pPr>
        <w:jc w:val="both"/>
      </w:pPr>
    </w:p>
    <w:p w:rsidR="00247E05" w:rsidRPr="002E5370" w:rsidRDefault="00247E05" w:rsidP="00247E05">
      <w:pPr>
        <w:jc w:val="both"/>
      </w:pPr>
    </w:p>
    <w:p w:rsidR="00247E05" w:rsidRDefault="00247E05" w:rsidP="002E5370">
      <w:pPr>
        <w:ind w:hanging="720"/>
        <w:jc w:val="both"/>
        <w:rPr>
          <w:b/>
          <w:sz w:val="32"/>
          <w:szCs w:val="32"/>
        </w:rPr>
      </w:pPr>
    </w:p>
    <w:p w:rsidR="00247E05" w:rsidRDefault="00247E05" w:rsidP="00247E05">
      <w:pPr>
        <w:jc w:val="both"/>
        <w:rPr>
          <w:b/>
          <w:sz w:val="32"/>
          <w:szCs w:val="32"/>
        </w:rPr>
        <w:sectPr w:rsidR="00247E05" w:rsidSect="00247E05">
          <w:footerReference w:type="default" r:id="rId8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72CB0" w:rsidRPr="00772CB0" w:rsidRDefault="00772CB0" w:rsidP="00772CB0">
      <w:pPr>
        <w:jc w:val="center"/>
      </w:pPr>
      <w:r w:rsidRPr="00772CB0">
        <w:lastRenderedPageBreak/>
        <w:t xml:space="preserve">Appendix A – </w:t>
      </w:r>
      <w:r>
        <w:t>Multiple Choice Question</w:t>
      </w:r>
      <w:r w:rsidRPr="00772CB0">
        <w:t xml:space="preserve"> excerpt from the OPH 127 SP 2011 FINAL EXAM</w:t>
      </w:r>
    </w:p>
    <w:p w:rsidR="00772CB0" w:rsidRDefault="00772CB0" w:rsidP="00772CB0"/>
    <w:p w:rsidR="00772CB0" w:rsidRDefault="00772CB0" w:rsidP="00772CB0"/>
    <w:p w:rsidR="00772CB0" w:rsidRDefault="00772CB0" w:rsidP="00772CB0">
      <w:pPr>
        <w:ind w:left="720" w:hanging="720"/>
      </w:pPr>
      <w:r>
        <w:rPr>
          <w:u w:val="single"/>
        </w:rPr>
        <w:t>7</w:t>
      </w:r>
      <w:r>
        <w:t>.</w:t>
      </w:r>
      <w:r>
        <w:tab/>
        <w:t>Given  - 3.00  - 2.00  x  90  plastic lens with a center thickness of  3.0 mm. The horizontal edge thickness of a 50 mm. round lens would be:</w:t>
      </w:r>
    </w:p>
    <w:p w:rsidR="00772CB0" w:rsidRDefault="00772CB0" w:rsidP="00772CB0">
      <w:r>
        <w:tab/>
      </w:r>
    </w:p>
    <w:p w:rsidR="00772CB0" w:rsidRPr="00FE6A78" w:rsidRDefault="00772CB0" w:rsidP="00772CB0">
      <w:pPr>
        <w:rPr>
          <w:lang w:val="fr-FR"/>
        </w:rPr>
      </w:pPr>
      <w:r>
        <w:tab/>
      </w:r>
      <w:r w:rsidRPr="00FE6A78">
        <w:rPr>
          <w:lang w:val="fr-FR"/>
        </w:rPr>
        <w:t>A.</w:t>
      </w:r>
      <w:r w:rsidRPr="00FE6A78">
        <w:rPr>
          <w:lang w:val="fr-FR"/>
        </w:rPr>
        <w:tab/>
        <w:t>1.1 mm.</w:t>
      </w:r>
    </w:p>
    <w:p w:rsidR="00772CB0" w:rsidRPr="00FE6A78" w:rsidRDefault="00772CB0" w:rsidP="00772CB0">
      <w:pPr>
        <w:rPr>
          <w:lang w:val="fr-FR"/>
        </w:rPr>
      </w:pPr>
      <w:r w:rsidRPr="00FE6A78">
        <w:rPr>
          <w:lang w:val="fr-FR"/>
        </w:rPr>
        <w:tab/>
        <w:t>B.</w:t>
      </w:r>
      <w:r w:rsidRPr="00FE6A78">
        <w:rPr>
          <w:lang w:val="fr-FR"/>
        </w:rPr>
        <w:tab/>
        <w:t>1.8 mm.</w:t>
      </w:r>
      <w:r w:rsidRPr="00FE6A78">
        <w:rPr>
          <w:lang w:val="fr-FR"/>
        </w:rPr>
        <w:tab/>
      </w:r>
    </w:p>
    <w:p w:rsidR="00772CB0" w:rsidRPr="00FE6A78" w:rsidRDefault="00772CB0" w:rsidP="00772CB0">
      <w:pPr>
        <w:rPr>
          <w:lang w:val="fr-FR"/>
        </w:rPr>
      </w:pPr>
      <w:r w:rsidRPr="00FE6A78">
        <w:rPr>
          <w:lang w:val="fr-FR"/>
        </w:rPr>
        <w:tab/>
        <w:t>C.</w:t>
      </w:r>
      <w:r w:rsidRPr="00FE6A78">
        <w:rPr>
          <w:lang w:val="fr-FR"/>
        </w:rPr>
        <w:tab/>
        <w:t>4.9 mm.</w:t>
      </w:r>
    </w:p>
    <w:p w:rsidR="00772CB0" w:rsidRPr="00FE6A78" w:rsidRDefault="00772CB0" w:rsidP="00772CB0">
      <w:pPr>
        <w:rPr>
          <w:lang w:val="fr-FR"/>
        </w:rPr>
      </w:pPr>
      <w:r w:rsidRPr="00FE6A78">
        <w:rPr>
          <w:lang w:val="fr-FR"/>
        </w:rPr>
        <w:tab/>
        <w:t>D.</w:t>
      </w:r>
      <w:r w:rsidRPr="00FE6A78">
        <w:rPr>
          <w:lang w:val="fr-FR"/>
        </w:rPr>
        <w:tab/>
        <w:t>6.1 mm.</w:t>
      </w:r>
    </w:p>
    <w:p w:rsidR="00772CB0" w:rsidRPr="00FE6A78" w:rsidRDefault="00772CB0" w:rsidP="00772CB0">
      <w:pPr>
        <w:rPr>
          <w:lang w:val="fr-FR"/>
        </w:rPr>
      </w:pPr>
    </w:p>
    <w:p w:rsidR="00772CB0" w:rsidRDefault="00772CB0" w:rsidP="00772CB0">
      <w:r>
        <w:rPr>
          <w:u w:val="single"/>
        </w:rPr>
        <w:t>8</w:t>
      </w:r>
      <w:r>
        <w:t>.</w:t>
      </w:r>
      <w:r>
        <w:tab/>
        <w:t>O.D.  + 4.00                             P.P.D.  =   62</w:t>
      </w:r>
    </w:p>
    <w:p w:rsidR="00772CB0" w:rsidRDefault="00772CB0" w:rsidP="00772CB0">
      <w:r>
        <w:tab/>
        <w:t xml:space="preserve">O.S.   +2.25                       </w:t>
      </w:r>
      <w:r>
        <w:tab/>
        <w:t xml:space="preserve">A   =  58      </w:t>
      </w:r>
      <w:r>
        <w:tab/>
        <w:t>DBL  =  20</w:t>
      </w:r>
      <w:r>
        <w:tab/>
      </w:r>
    </w:p>
    <w:p w:rsidR="00772CB0" w:rsidRDefault="00772CB0" w:rsidP="00772CB0"/>
    <w:p w:rsidR="00772CB0" w:rsidRDefault="00772CB0" w:rsidP="00772CB0">
      <w:r>
        <w:tab/>
        <w:t>If the shop did not decenter the lenses; how much prism would be induced to the patient?</w:t>
      </w:r>
    </w:p>
    <w:p w:rsidR="00772CB0" w:rsidRDefault="00772CB0" w:rsidP="00772CB0"/>
    <w:p w:rsidR="00772CB0" w:rsidRPr="00FE6A78" w:rsidRDefault="00772CB0" w:rsidP="00772CB0">
      <w:pPr>
        <w:ind w:firstLine="720"/>
        <w:rPr>
          <w:lang w:val="it-IT"/>
        </w:rPr>
      </w:pPr>
      <w:r w:rsidRPr="00FE6A78">
        <w:rPr>
          <w:lang w:val="it-IT"/>
        </w:rPr>
        <w:t>A.</w:t>
      </w:r>
      <w:r w:rsidRPr="00FE6A78">
        <w:rPr>
          <w:lang w:val="it-IT"/>
        </w:rPr>
        <w:tab/>
        <w:t>5  ^  BI</w:t>
      </w:r>
    </w:p>
    <w:p w:rsidR="00772CB0" w:rsidRPr="00FE6A78" w:rsidRDefault="00772CB0" w:rsidP="00772CB0">
      <w:pPr>
        <w:rPr>
          <w:lang w:val="it-IT"/>
        </w:rPr>
      </w:pPr>
      <w:r w:rsidRPr="00FE6A78">
        <w:rPr>
          <w:lang w:val="it-IT"/>
        </w:rPr>
        <w:tab/>
        <w:t>B.</w:t>
      </w:r>
      <w:r w:rsidRPr="00FE6A78">
        <w:rPr>
          <w:lang w:val="it-IT"/>
        </w:rPr>
        <w:tab/>
        <w:t>5  ^  BO</w:t>
      </w:r>
    </w:p>
    <w:p w:rsidR="00772CB0" w:rsidRPr="00FE6A78" w:rsidRDefault="00772CB0" w:rsidP="00772CB0">
      <w:pPr>
        <w:rPr>
          <w:lang w:val="it-IT"/>
        </w:rPr>
      </w:pPr>
      <w:r w:rsidRPr="00FE6A78">
        <w:rPr>
          <w:lang w:val="it-IT"/>
        </w:rPr>
        <w:tab/>
        <w:t>C.</w:t>
      </w:r>
      <w:r w:rsidRPr="00FE6A78">
        <w:rPr>
          <w:lang w:val="it-IT"/>
        </w:rPr>
        <w:tab/>
        <w:t>4  ^  BI</w:t>
      </w:r>
    </w:p>
    <w:p w:rsidR="00772CB0" w:rsidRPr="00FE6A78" w:rsidRDefault="00772CB0" w:rsidP="00772CB0">
      <w:pPr>
        <w:rPr>
          <w:lang w:val="it-IT"/>
        </w:rPr>
      </w:pPr>
      <w:r w:rsidRPr="00FE6A78">
        <w:rPr>
          <w:lang w:val="it-IT"/>
        </w:rPr>
        <w:tab/>
        <w:t>D.</w:t>
      </w:r>
      <w:r w:rsidRPr="00FE6A78">
        <w:rPr>
          <w:lang w:val="it-IT"/>
        </w:rPr>
        <w:tab/>
        <w:t>3  ^  BO</w:t>
      </w:r>
    </w:p>
    <w:p w:rsidR="00772CB0" w:rsidRPr="00FE6A78" w:rsidRDefault="00772CB0" w:rsidP="00772CB0">
      <w:pPr>
        <w:rPr>
          <w:lang w:val="it-IT"/>
        </w:rPr>
      </w:pPr>
    </w:p>
    <w:p w:rsidR="00772CB0" w:rsidRDefault="00772CB0" w:rsidP="00772CB0">
      <w:pPr>
        <w:ind w:left="720" w:hanging="720"/>
      </w:pPr>
      <w:r>
        <w:rPr>
          <w:u w:val="single"/>
        </w:rPr>
        <w:t>9</w:t>
      </w:r>
      <w:r>
        <w:t>.</w:t>
      </w:r>
      <w:r>
        <w:tab/>
        <w:t>A patient is prescribed  O.D.   8  ^  BO  and it is desired to split the prism; this would be accomplished by giving the patient:</w:t>
      </w:r>
    </w:p>
    <w:p w:rsidR="00772CB0" w:rsidRDefault="00772CB0" w:rsidP="00772CB0"/>
    <w:p w:rsidR="00772CB0" w:rsidRDefault="00772CB0" w:rsidP="00772CB0">
      <w:pPr>
        <w:ind w:firstLine="720"/>
      </w:pPr>
      <w:r>
        <w:t>A.</w:t>
      </w:r>
      <w:r>
        <w:tab/>
        <w:t>O.D.   4  ^  BO</w:t>
      </w:r>
      <w:r>
        <w:tab/>
        <w:t>O.S.  4  ^  BO</w:t>
      </w:r>
    </w:p>
    <w:p w:rsidR="00772CB0" w:rsidRDefault="00772CB0" w:rsidP="00772CB0">
      <w:r>
        <w:tab/>
        <w:t>B.</w:t>
      </w:r>
      <w:r>
        <w:tab/>
        <w:t>O.D.   4  ^  BI</w:t>
      </w:r>
      <w:r>
        <w:tab/>
      </w:r>
      <w:r>
        <w:tab/>
        <w:t>O.S.  4  ^  BI</w:t>
      </w:r>
    </w:p>
    <w:p w:rsidR="00772CB0" w:rsidRDefault="00772CB0" w:rsidP="00772CB0">
      <w:pPr>
        <w:ind w:firstLine="720"/>
      </w:pPr>
      <w:r>
        <w:t>C.</w:t>
      </w:r>
      <w:r>
        <w:tab/>
        <w:t>O.D.   4  ^  BO</w:t>
      </w:r>
      <w:r>
        <w:tab/>
        <w:t>O.S.  4  ^  BI</w:t>
      </w:r>
    </w:p>
    <w:p w:rsidR="00772CB0" w:rsidRDefault="00772CB0" w:rsidP="00772CB0">
      <w:r>
        <w:tab/>
        <w:t>D.</w:t>
      </w:r>
      <w:r>
        <w:tab/>
        <w:t>O.D.   4  ^  BI</w:t>
      </w:r>
      <w:r>
        <w:tab/>
      </w:r>
      <w:r>
        <w:tab/>
        <w:t>O.S.  4  ^  BO</w:t>
      </w:r>
    </w:p>
    <w:p w:rsidR="00772CB0" w:rsidRDefault="00772CB0" w:rsidP="00772CB0"/>
    <w:p w:rsidR="00772CB0" w:rsidRDefault="00772CB0" w:rsidP="00772CB0">
      <w:r>
        <w:rPr>
          <w:u w:val="single"/>
        </w:rPr>
        <w:t>10</w:t>
      </w:r>
      <w:r>
        <w:t>.</w:t>
      </w:r>
      <w:r>
        <w:tab/>
        <w:t>Combine the following crossed cylinder Rxs into a spherocylindrical Rx form:</w:t>
      </w:r>
    </w:p>
    <w:p w:rsidR="00772CB0" w:rsidRDefault="00772CB0" w:rsidP="00772CB0"/>
    <w:p w:rsidR="00772CB0" w:rsidRDefault="00772CB0" w:rsidP="00772CB0">
      <w:r>
        <w:tab/>
        <w:t xml:space="preserve">- 5.00  x  90        </w:t>
      </w:r>
      <w:r>
        <w:tab/>
        <w:t>- 2.00  x  180</w:t>
      </w:r>
    </w:p>
    <w:p w:rsidR="00772CB0" w:rsidRDefault="00772CB0" w:rsidP="00772CB0"/>
    <w:p w:rsidR="00772CB0" w:rsidRDefault="00772CB0" w:rsidP="00772CB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    - 3.00  - 4.00  x  90</w:t>
      </w:r>
    </w:p>
    <w:p w:rsidR="00772CB0" w:rsidRDefault="00772CB0" w:rsidP="00772CB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    - 5.00  + 3.00  x  180</w:t>
      </w:r>
    </w:p>
    <w:p w:rsidR="00772CB0" w:rsidRDefault="00772CB0" w:rsidP="00772CB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    - 4.00  +1.00  x  90</w:t>
      </w:r>
    </w:p>
    <w:p w:rsidR="00772CB0" w:rsidRDefault="00772CB0" w:rsidP="00772CB0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>
        <w:t xml:space="preserve">    B and C</w:t>
      </w:r>
    </w:p>
    <w:p w:rsidR="00772CB0" w:rsidRDefault="00772CB0" w:rsidP="00772CB0"/>
    <w:p w:rsidR="00772CB0" w:rsidRDefault="00772CB0" w:rsidP="00772CB0">
      <w:r>
        <w:rPr>
          <w:u w:val="single"/>
        </w:rPr>
        <w:t>11</w:t>
      </w:r>
      <w:r>
        <w:t>.</w:t>
      </w:r>
      <w:r>
        <w:tab/>
        <w:t>Find the spherical equivalence of the following lens:</w:t>
      </w:r>
    </w:p>
    <w:p w:rsidR="00772CB0" w:rsidRDefault="00772CB0" w:rsidP="00772CB0"/>
    <w:p w:rsidR="00772CB0" w:rsidRDefault="00772CB0" w:rsidP="00772CB0">
      <w:r>
        <w:tab/>
        <w:t>+ 4.50  + 1.50  x  90</w:t>
      </w:r>
    </w:p>
    <w:p w:rsidR="00772CB0" w:rsidRDefault="00772CB0" w:rsidP="00772CB0"/>
    <w:p w:rsidR="00772CB0" w:rsidRDefault="00772CB0" w:rsidP="00772CB0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    + 3.75</w:t>
      </w:r>
    </w:p>
    <w:p w:rsidR="00772CB0" w:rsidRDefault="00772CB0" w:rsidP="00772CB0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    + 5.25</w:t>
      </w:r>
    </w:p>
    <w:p w:rsidR="00772CB0" w:rsidRDefault="00772CB0" w:rsidP="00772CB0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>
        <w:t xml:space="preserve">    + 4.50</w:t>
      </w:r>
    </w:p>
    <w:p w:rsidR="00772CB0" w:rsidRPr="004569A1" w:rsidRDefault="00772CB0" w:rsidP="00772CB0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</w:pPr>
      <w:r w:rsidRPr="004569A1">
        <w:t xml:space="preserve">    + 2.25</w:t>
      </w:r>
    </w:p>
    <w:p w:rsidR="00772CB0" w:rsidRDefault="00772CB0" w:rsidP="00772CB0">
      <w:r>
        <w:rPr>
          <w:u w:val="single"/>
        </w:rPr>
        <w:lastRenderedPageBreak/>
        <w:t>12</w:t>
      </w:r>
      <w:r>
        <w:t>.</w:t>
      </w:r>
      <w:r>
        <w:tab/>
        <w:t>Find the object displacement in prism diopters:</w:t>
      </w:r>
    </w:p>
    <w:p w:rsidR="00772CB0" w:rsidRDefault="00772CB0" w:rsidP="00772CB0"/>
    <w:p w:rsidR="00772CB0" w:rsidRDefault="00772CB0" w:rsidP="00772CB0">
      <w:r>
        <w:tab/>
        <w:t>O.D.  + 3.00</w:t>
      </w:r>
    </w:p>
    <w:p w:rsidR="00772CB0" w:rsidRDefault="00772CB0" w:rsidP="00772CB0">
      <w:r>
        <w:tab/>
        <w:t>ADD  + 2.00</w:t>
      </w:r>
    </w:p>
    <w:p w:rsidR="00772CB0" w:rsidRDefault="00772CB0" w:rsidP="00772CB0">
      <w:r>
        <w:tab/>
        <w:t>5  below</w:t>
      </w:r>
    </w:p>
    <w:p w:rsidR="00772CB0" w:rsidRDefault="00772CB0" w:rsidP="00772CB0">
      <w:r>
        <w:tab/>
        <w:t>R.L.  12 mm.</w:t>
      </w:r>
    </w:p>
    <w:p w:rsidR="00772CB0" w:rsidRDefault="00772CB0" w:rsidP="00772CB0">
      <w:r>
        <w:tab/>
        <w:t>Executive seg.</w:t>
      </w:r>
    </w:p>
    <w:p w:rsidR="00772CB0" w:rsidRDefault="00772CB0" w:rsidP="00772CB0"/>
    <w:p w:rsidR="00772CB0" w:rsidRDefault="00772CB0" w:rsidP="00772CB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    7.75  ^  BU</w:t>
      </w:r>
    </w:p>
    <w:p w:rsidR="00772CB0" w:rsidRDefault="00772CB0" w:rsidP="00772CB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    6.00  ^  BD</w:t>
      </w:r>
    </w:p>
    <w:p w:rsidR="00772CB0" w:rsidRDefault="00772CB0" w:rsidP="00772CB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t xml:space="preserve">    5.00  ^  BD</w:t>
      </w:r>
    </w:p>
    <w:p w:rsidR="00772CB0" w:rsidRDefault="00772CB0" w:rsidP="00772CB0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 w:rsidRPr="004569A1">
        <w:t xml:space="preserve">    </w:t>
      </w:r>
      <w:r>
        <w:t>5.00  ^   BU</w:t>
      </w:r>
    </w:p>
    <w:p w:rsidR="00772CB0" w:rsidRPr="004569A1" w:rsidRDefault="00772CB0" w:rsidP="00772CB0">
      <w:pPr>
        <w:overflowPunct w:val="0"/>
        <w:autoSpaceDE w:val="0"/>
        <w:autoSpaceDN w:val="0"/>
        <w:adjustRightInd w:val="0"/>
        <w:ind w:left="1080"/>
        <w:textAlignment w:val="baseline"/>
      </w:pPr>
    </w:p>
    <w:p w:rsidR="00772CB0" w:rsidRDefault="00772CB0" w:rsidP="00772CB0">
      <w:r>
        <w:rPr>
          <w:u w:val="single"/>
        </w:rPr>
        <w:t>13</w:t>
      </w:r>
      <w:r>
        <w:t>.</w:t>
      </w:r>
      <w:r>
        <w:tab/>
        <w:t>What is the resultant prism of the following?</w:t>
      </w:r>
    </w:p>
    <w:p w:rsidR="00772CB0" w:rsidRDefault="00772CB0" w:rsidP="00772CB0"/>
    <w:p w:rsidR="00772CB0" w:rsidRDefault="00772CB0" w:rsidP="00772CB0">
      <w:r>
        <w:tab/>
        <w:t>O.S.      2.00  ^  B.U.  and  4.00  ^  B.O.</w:t>
      </w:r>
    </w:p>
    <w:p w:rsidR="00772CB0" w:rsidRDefault="00772CB0" w:rsidP="00772CB0">
      <w:r>
        <w:t xml:space="preserve">    </w:t>
      </w:r>
    </w:p>
    <w:p w:rsidR="00772CB0" w:rsidRDefault="00772CB0" w:rsidP="00772CB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 xml:space="preserve">    3.61  ^  B.    U.  and  I.   @   153</w:t>
      </w:r>
    </w:p>
    <w:p w:rsidR="00772CB0" w:rsidRDefault="00772CB0" w:rsidP="00772CB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 xml:space="preserve">    4.47  ^  B.    U.  and  O.  @    153</w:t>
      </w:r>
    </w:p>
    <w:p w:rsidR="00772CB0" w:rsidRDefault="00772CB0" w:rsidP="00772CB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 xml:space="preserve">    4.47  ^  B.    U.  and  O.  @    27</w:t>
      </w:r>
    </w:p>
    <w:p w:rsidR="00772CB0" w:rsidRDefault="00772CB0" w:rsidP="00772CB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</w:pPr>
      <w:r>
        <w:t xml:space="preserve">    5.39  ^  B.    U.  and  O.  @   27</w:t>
      </w:r>
    </w:p>
    <w:p w:rsidR="00772CB0" w:rsidRDefault="00772CB0" w:rsidP="00772CB0"/>
    <w:p w:rsidR="00772CB0" w:rsidRDefault="00772CB0" w:rsidP="00772CB0">
      <w:r>
        <w:rPr>
          <w:u w:val="single"/>
        </w:rPr>
        <w:t>14</w:t>
      </w:r>
      <w:r>
        <w:t>.</w:t>
      </w:r>
      <w:r>
        <w:tab/>
        <w:t>What is the effective power of the following lens?</w:t>
      </w:r>
    </w:p>
    <w:p w:rsidR="00772CB0" w:rsidRDefault="00772CB0" w:rsidP="00772CB0"/>
    <w:p w:rsidR="00772CB0" w:rsidRDefault="00772CB0" w:rsidP="00772CB0">
      <w:r>
        <w:tab/>
        <w:t>D1  =  + 12.00</w:t>
      </w:r>
    </w:p>
    <w:p w:rsidR="00772CB0" w:rsidRDefault="00772CB0" w:rsidP="00772CB0">
      <w:r>
        <w:tab/>
        <w:t>D2  =  + 1.00</w:t>
      </w:r>
    </w:p>
    <w:p w:rsidR="00772CB0" w:rsidRDefault="00772CB0" w:rsidP="00772CB0">
      <w:r>
        <w:tab/>
        <w:t>Thickness  =  6 mm.</w:t>
      </w:r>
    </w:p>
    <w:p w:rsidR="00772CB0" w:rsidRDefault="00772CB0" w:rsidP="00772CB0">
      <w:r>
        <w:tab/>
        <w:t>N  =  1.50</w:t>
      </w:r>
    </w:p>
    <w:p w:rsidR="00772CB0" w:rsidRDefault="00772CB0" w:rsidP="00772CB0"/>
    <w:p w:rsidR="00772CB0" w:rsidRDefault="00772CB0" w:rsidP="00772CB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   + 13.58</w:t>
      </w:r>
    </w:p>
    <w:p w:rsidR="00772CB0" w:rsidRDefault="00772CB0" w:rsidP="00772CB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   + 14.58</w:t>
      </w:r>
    </w:p>
    <w:p w:rsidR="00772CB0" w:rsidRDefault="00772CB0" w:rsidP="00772CB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   + 15.38</w:t>
      </w:r>
    </w:p>
    <w:p w:rsidR="00772CB0" w:rsidRDefault="00772CB0" w:rsidP="00772CB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</w:pPr>
      <w:r>
        <w:t xml:space="preserve">   + 17.18</w:t>
      </w:r>
    </w:p>
    <w:p w:rsidR="00772CB0" w:rsidRDefault="00772CB0" w:rsidP="00772CB0"/>
    <w:p w:rsidR="00772CB0" w:rsidRDefault="00772CB0" w:rsidP="00772CB0">
      <w:r>
        <w:rPr>
          <w:u w:val="single"/>
        </w:rPr>
        <w:t>15</w:t>
      </w:r>
      <w:r>
        <w:t>.</w:t>
      </w:r>
      <w:r>
        <w:tab/>
        <w:t>What is the effective power for the following Rx?</w:t>
      </w:r>
    </w:p>
    <w:p w:rsidR="00772CB0" w:rsidRDefault="00772CB0" w:rsidP="00772CB0"/>
    <w:p w:rsidR="00772CB0" w:rsidRDefault="00772CB0" w:rsidP="00772CB0">
      <w:r>
        <w:tab/>
        <w:t xml:space="preserve">O.D.  + 18.25 </w:t>
      </w:r>
    </w:p>
    <w:p w:rsidR="00772CB0" w:rsidRDefault="00772CB0" w:rsidP="00772CB0">
      <w:r>
        <w:tab/>
        <w:t>Examined  V.D.  =  10 mm.</w:t>
      </w:r>
    </w:p>
    <w:p w:rsidR="00772CB0" w:rsidRDefault="00772CB0" w:rsidP="00772CB0">
      <w:r>
        <w:tab/>
        <w:t>Fitted  V.D.  =  15 mm.</w:t>
      </w:r>
    </w:p>
    <w:p w:rsidR="00772CB0" w:rsidRDefault="00772CB0" w:rsidP="00772CB0"/>
    <w:p w:rsidR="00772CB0" w:rsidRDefault="00772CB0" w:rsidP="00772CB0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   + 16.00</w:t>
      </w:r>
    </w:p>
    <w:p w:rsidR="00772CB0" w:rsidRDefault="00772CB0" w:rsidP="00772CB0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   + 17.00</w:t>
      </w:r>
    </w:p>
    <w:p w:rsidR="00772CB0" w:rsidRDefault="00772CB0" w:rsidP="00772CB0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   + 19.00</w:t>
      </w:r>
    </w:p>
    <w:p w:rsidR="00772CB0" w:rsidRDefault="00772CB0" w:rsidP="00772CB0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</w:pPr>
      <w:r>
        <w:t xml:space="preserve">   + 20.00</w:t>
      </w:r>
    </w:p>
    <w:p w:rsidR="00482D55" w:rsidRPr="002E5370" w:rsidRDefault="00482D55" w:rsidP="002E5370">
      <w:pPr>
        <w:ind w:hanging="720"/>
        <w:jc w:val="both"/>
        <w:rPr>
          <w:b/>
          <w:sz w:val="32"/>
          <w:szCs w:val="32"/>
        </w:rPr>
      </w:pPr>
    </w:p>
    <w:sectPr w:rsidR="00482D55" w:rsidRPr="002E5370" w:rsidSect="002E5370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BAF" w:rsidRDefault="00FF0BAF" w:rsidP="000A3AC0">
      <w:r>
        <w:separator/>
      </w:r>
    </w:p>
  </w:endnote>
  <w:endnote w:type="continuationSeparator" w:id="0">
    <w:p w:rsidR="00FF0BAF" w:rsidRDefault="00FF0BAF" w:rsidP="000A3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AC0" w:rsidRPr="002E5370" w:rsidRDefault="002E5370" w:rsidP="002E5370">
    <w:pPr>
      <w:pStyle w:val="Footer"/>
      <w:tabs>
        <w:tab w:val="clear" w:pos="4680"/>
        <w:tab w:val="clear" w:pos="9360"/>
        <w:tab w:val="center" w:pos="2835"/>
      </w:tabs>
      <w:ind w:left="-142" w:right="4"/>
      <w:jc w:val="center"/>
      <w:rPr>
        <w:sz w:val="20"/>
        <w:szCs w:val="20"/>
      </w:rPr>
    </w:pPr>
    <w:r>
      <w:rPr>
        <w:sz w:val="20"/>
        <w:szCs w:val="20"/>
      </w:rPr>
      <w:t xml:space="preserve">               </w:t>
    </w:r>
    <w:r w:rsidRPr="002E5370">
      <w:rPr>
        <w:sz w:val="20"/>
        <w:szCs w:val="20"/>
      </w:rPr>
      <w:t xml:space="preserve">OPH 127 – </w:t>
    </w:r>
    <w:r w:rsidR="005A00DC" w:rsidRPr="002E5370">
      <w:rPr>
        <w:sz w:val="20"/>
        <w:szCs w:val="20"/>
      </w:rPr>
      <w:fldChar w:fldCharType="begin"/>
    </w:r>
    <w:r w:rsidR="000A3AC0" w:rsidRPr="002E5370">
      <w:rPr>
        <w:sz w:val="20"/>
        <w:szCs w:val="20"/>
      </w:rPr>
      <w:instrText xml:space="preserve"> PAGE   \* MERGEFORMAT </w:instrText>
    </w:r>
    <w:r w:rsidR="005A00DC" w:rsidRPr="002E5370">
      <w:rPr>
        <w:sz w:val="20"/>
        <w:szCs w:val="20"/>
      </w:rPr>
      <w:fldChar w:fldCharType="separate"/>
    </w:r>
    <w:r w:rsidR="00D71882">
      <w:rPr>
        <w:noProof/>
        <w:sz w:val="20"/>
        <w:szCs w:val="20"/>
      </w:rPr>
      <w:t>2</w:t>
    </w:r>
    <w:r w:rsidR="005A00DC" w:rsidRPr="002E5370">
      <w:rPr>
        <w:sz w:val="20"/>
        <w:szCs w:val="20"/>
      </w:rPr>
      <w:fldChar w:fldCharType="end"/>
    </w:r>
    <w:r w:rsidR="000A3AC0" w:rsidRPr="002E5370">
      <w:rPr>
        <w:sz w:val="20"/>
        <w:szCs w:val="2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8C" w:rsidRPr="00B63C8C" w:rsidRDefault="00B63C8C" w:rsidP="00B63C8C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70" w:rsidRPr="002E5370" w:rsidRDefault="002E5370" w:rsidP="002E5370">
    <w:pPr>
      <w:pStyle w:val="Footer"/>
      <w:tabs>
        <w:tab w:val="clear" w:pos="4680"/>
        <w:tab w:val="clear" w:pos="9360"/>
        <w:tab w:val="center" w:pos="2835"/>
      </w:tabs>
      <w:ind w:left="-142" w:right="4"/>
      <w:jc w:val="center"/>
      <w:rPr>
        <w:sz w:val="20"/>
        <w:szCs w:val="20"/>
      </w:rPr>
    </w:pPr>
    <w:r>
      <w:rPr>
        <w:sz w:val="20"/>
        <w:szCs w:val="20"/>
      </w:rPr>
      <w:t xml:space="preserve">               </w:t>
    </w:r>
    <w:r w:rsidRPr="002E5370">
      <w:rPr>
        <w:sz w:val="20"/>
        <w:szCs w:val="20"/>
      </w:rPr>
      <w:t xml:space="preserve">OPH 127 </w:t>
    </w:r>
    <w:r>
      <w:rPr>
        <w:sz w:val="20"/>
        <w:szCs w:val="20"/>
      </w:rPr>
      <w:t xml:space="preserve">– Appendix A </w:t>
    </w:r>
    <w:r w:rsidRPr="002E5370">
      <w:rPr>
        <w:sz w:val="20"/>
        <w:szCs w:val="20"/>
      </w:rPr>
      <w:t xml:space="preserve">– </w:t>
    </w:r>
    <w:r w:rsidR="005A00DC" w:rsidRPr="002E5370">
      <w:rPr>
        <w:sz w:val="20"/>
        <w:szCs w:val="20"/>
      </w:rPr>
      <w:fldChar w:fldCharType="begin"/>
    </w:r>
    <w:r w:rsidRPr="002E5370">
      <w:rPr>
        <w:sz w:val="20"/>
        <w:szCs w:val="20"/>
      </w:rPr>
      <w:instrText xml:space="preserve"> PAGE   \* MERGEFORMAT </w:instrText>
    </w:r>
    <w:r w:rsidR="005A00DC" w:rsidRPr="002E5370">
      <w:rPr>
        <w:sz w:val="20"/>
        <w:szCs w:val="20"/>
      </w:rPr>
      <w:fldChar w:fldCharType="separate"/>
    </w:r>
    <w:r w:rsidR="00D71882">
      <w:rPr>
        <w:noProof/>
        <w:sz w:val="20"/>
        <w:szCs w:val="20"/>
      </w:rPr>
      <w:t>1</w:t>
    </w:r>
    <w:r w:rsidR="005A00DC" w:rsidRPr="002E5370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BAF" w:rsidRDefault="00FF0BAF" w:rsidP="000A3AC0">
      <w:r>
        <w:separator/>
      </w:r>
    </w:p>
  </w:footnote>
  <w:footnote w:type="continuationSeparator" w:id="0">
    <w:p w:rsidR="00FF0BAF" w:rsidRDefault="00FF0BAF" w:rsidP="000A3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604"/>
    <w:multiLevelType w:val="hybridMultilevel"/>
    <w:tmpl w:val="B87889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BB1883"/>
    <w:multiLevelType w:val="hybridMultilevel"/>
    <w:tmpl w:val="B87889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E27483"/>
    <w:multiLevelType w:val="hybridMultilevel"/>
    <w:tmpl w:val="DE120940"/>
    <w:lvl w:ilvl="0" w:tplc="AC6C2C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6278B6"/>
    <w:multiLevelType w:val="hybridMultilevel"/>
    <w:tmpl w:val="B878898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C45178"/>
    <w:multiLevelType w:val="hybridMultilevel"/>
    <w:tmpl w:val="DE120940"/>
    <w:lvl w:ilvl="0" w:tplc="AC6C2C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4181BAD"/>
    <w:multiLevelType w:val="hybridMultilevel"/>
    <w:tmpl w:val="D5BADD2A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5A814BA5"/>
    <w:multiLevelType w:val="hybridMultilevel"/>
    <w:tmpl w:val="499E825E"/>
    <w:lvl w:ilvl="0" w:tplc="A372F9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AA82E00"/>
    <w:multiLevelType w:val="hybridMultilevel"/>
    <w:tmpl w:val="DE120940"/>
    <w:lvl w:ilvl="0" w:tplc="AC6C2CE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15D586C"/>
    <w:multiLevelType w:val="hybridMultilevel"/>
    <w:tmpl w:val="1374B94C"/>
    <w:lvl w:ilvl="0" w:tplc="AB36AF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67A8"/>
    <w:rsid w:val="000579C3"/>
    <w:rsid w:val="000614D3"/>
    <w:rsid w:val="00077016"/>
    <w:rsid w:val="000A3AC0"/>
    <w:rsid w:val="000E3E28"/>
    <w:rsid w:val="000F6D42"/>
    <w:rsid w:val="00151B5A"/>
    <w:rsid w:val="00167099"/>
    <w:rsid w:val="001917BA"/>
    <w:rsid w:val="001A3BD2"/>
    <w:rsid w:val="001B2D1D"/>
    <w:rsid w:val="001C2EDD"/>
    <w:rsid w:val="001F6125"/>
    <w:rsid w:val="00247E05"/>
    <w:rsid w:val="00281403"/>
    <w:rsid w:val="002E5370"/>
    <w:rsid w:val="002E57B7"/>
    <w:rsid w:val="00316BBF"/>
    <w:rsid w:val="00350DAB"/>
    <w:rsid w:val="00377590"/>
    <w:rsid w:val="003A54F1"/>
    <w:rsid w:val="003D423D"/>
    <w:rsid w:val="00424DDE"/>
    <w:rsid w:val="00482D55"/>
    <w:rsid w:val="004E6E98"/>
    <w:rsid w:val="004F343E"/>
    <w:rsid w:val="005A00DC"/>
    <w:rsid w:val="00657821"/>
    <w:rsid w:val="006F45D4"/>
    <w:rsid w:val="007073EE"/>
    <w:rsid w:val="00732D55"/>
    <w:rsid w:val="0077081C"/>
    <w:rsid w:val="00772CB0"/>
    <w:rsid w:val="007E5602"/>
    <w:rsid w:val="007F5858"/>
    <w:rsid w:val="008C2AA9"/>
    <w:rsid w:val="00927681"/>
    <w:rsid w:val="00970318"/>
    <w:rsid w:val="009867A8"/>
    <w:rsid w:val="009B3E3A"/>
    <w:rsid w:val="00AB7EC1"/>
    <w:rsid w:val="00B63C8C"/>
    <w:rsid w:val="00B75241"/>
    <w:rsid w:val="00B94119"/>
    <w:rsid w:val="00C0000B"/>
    <w:rsid w:val="00C073A0"/>
    <w:rsid w:val="00C12805"/>
    <w:rsid w:val="00C27137"/>
    <w:rsid w:val="00D020BA"/>
    <w:rsid w:val="00D04E52"/>
    <w:rsid w:val="00D57367"/>
    <w:rsid w:val="00D71882"/>
    <w:rsid w:val="00E05919"/>
    <w:rsid w:val="00E06247"/>
    <w:rsid w:val="00E26E48"/>
    <w:rsid w:val="00E852D1"/>
    <w:rsid w:val="00EE5736"/>
    <w:rsid w:val="00F33FEC"/>
    <w:rsid w:val="00FC52D1"/>
    <w:rsid w:val="00FC65C8"/>
    <w:rsid w:val="00FE6A78"/>
    <w:rsid w:val="00FF0BAF"/>
    <w:rsid w:val="00FF3EDC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E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7A8"/>
    <w:pPr>
      <w:ind w:left="720"/>
      <w:contextualSpacing/>
    </w:pPr>
  </w:style>
  <w:style w:type="paragraph" w:styleId="Header">
    <w:name w:val="header"/>
    <w:basedOn w:val="Normal"/>
    <w:link w:val="HeaderChar"/>
    <w:rsid w:val="000A3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AC0"/>
    <w:rPr>
      <w:sz w:val="24"/>
      <w:szCs w:val="24"/>
    </w:rPr>
  </w:style>
  <w:style w:type="paragraph" w:styleId="Footer">
    <w:name w:val="footer"/>
    <w:basedOn w:val="Normal"/>
    <w:link w:val="FooterChar"/>
    <w:rsid w:val="000A3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3AC0"/>
    <w:rPr>
      <w:sz w:val="24"/>
      <w:szCs w:val="24"/>
    </w:rPr>
  </w:style>
  <w:style w:type="table" w:styleId="TableGrid">
    <w:name w:val="Table Grid"/>
    <w:basedOn w:val="TableNormal"/>
    <w:rsid w:val="00247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3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gaulden</cp:lastModifiedBy>
  <cp:revision>2</cp:revision>
  <cp:lastPrinted>2011-09-30T12:21:00Z</cp:lastPrinted>
  <dcterms:created xsi:type="dcterms:W3CDTF">2011-09-30T17:20:00Z</dcterms:created>
  <dcterms:modified xsi:type="dcterms:W3CDTF">2011-09-30T17:20:00Z</dcterms:modified>
</cp:coreProperties>
</file>