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25" w:rsidRPr="00C84312" w:rsidRDefault="00AD14B0" w:rsidP="00AD14B0">
      <w:pPr>
        <w:jc w:val="center"/>
        <w:rPr>
          <w:rFonts w:ascii="Times New Roman" w:hAnsi="Times New Roman" w:cs="Times New Roman"/>
          <w:b/>
          <w:bCs/>
          <w:color w:val="000000"/>
        </w:rPr>
      </w:pPr>
      <w:r w:rsidRPr="00C84312">
        <w:rPr>
          <w:rFonts w:ascii="Times New Roman" w:hAnsi="Times New Roman" w:cs="Times New Roman"/>
          <w:b/>
          <w:bCs/>
          <w:color w:val="000000"/>
        </w:rPr>
        <w:t>MTH 086 SLOAT Assessment Study Report (Spring 2011)</w:t>
      </w:r>
    </w:p>
    <w:p w:rsidR="00C84312" w:rsidRDefault="00C84312" w:rsidP="00C55804">
      <w:pPr>
        <w:jc w:val="center"/>
        <w:rPr>
          <w:rFonts w:ascii="Times New Roman" w:hAnsi="Times New Roman" w:cs="Times New Roman"/>
          <w:b/>
          <w:bCs/>
          <w:color w:val="000000"/>
        </w:rPr>
      </w:pPr>
    </w:p>
    <w:p w:rsidR="00AD14B0" w:rsidRPr="00C84312" w:rsidRDefault="00AD14B0" w:rsidP="00C55804">
      <w:pPr>
        <w:jc w:val="center"/>
        <w:rPr>
          <w:rFonts w:ascii="Times New Roman" w:hAnsi="Times New Roman" w:cs="Times New Roman"/>
          <w:b/>
          <w:bCs/>
          <w:color w:val="000000"/>
        </w:rPr>
      </w:pPr>
      <w:r w:rsidRPr="00C84312">
        <w:rPr>
          <w:rFonts w:ascii="Times New Roman" w:hAnsi="Times New Roman" w:cs="Times New Roman"/>
          <w:b/>
          <w:bCs/>
          <w:color w:val="000000"/>
        </w:rPr>
        <w:t>Prepared by:  Shohreh Andresky and Ines Figueiras</w:t>
      </w:r>
    </w:p>
    <w:p w:rsidR="00AD14B0" w:rsidRDefault="00AD14B0" w:rsidP="00AD14B0">
      <w:pPr>
        <w:jc w:val="both"/>
        <w:rPr>
          <w:rFonts w:ascii="Times New Roman" w:hAnsi="Times New Roman" w:cs="Times New Roman"/>
          <w:b/>
          <w:bCs/>
          <w:color w:val="000000"/>
        </w:rPr>
      </w:pPr>
    </w:p>
    <w:p w:rsidR="00C84312" w:rsidRPr="00C84312" w:rsidRDefault="00C84312" w:rsidP="00AD14B0">
      <w:pPr>
        <w:jc w:val="both"/>
        <w:rPr>
          <w:rFonts w:ascii="Times New Roman" w:hAnsi="Times New Roman" w:cs="Times New Roman"/>
          <w:b/>
          <w:bCs/>
          <w:color w:val="000000"/>
        </w:rPr>
      </w:pPr>
    </w:p>
    <w:p w:rsidR="002C1EAF" w:rsidRPr="00C84312" w:rsidRDefault="00AD14B0" w:rsidP="002C1EAF">
      <w:pPr>
        <w:pStyle w:val="Heading1"/>
        <w:rPr>
          <w:rFonts w:ascii="Times New Roman" w:hAnsi="Times New Roman" w:cs="Times New Roman"/>
          <w:sz w:val="24"/>
          <w:szCs w:val="24"/>
        </w:rPr>
      </w:pPr>
      <w:r w:rsidRPr="00C84312">
        <w:rPr>
          <w:rFonts w:ascii="Times New Roman" w:hAnsi="Times New Roman" w:cs="Times New Roman"/>
          <w:sz w:val="24"/>
          <w:szCs w:val="24"/>
        </w:rPr>
        <w:t>Introduction</w:t>
      </w:r>
    </w:p>
    <w:p w:rsidR="002C1EAF" w:rsidRPr="00C84312" w:rsidRDefault="002C1EAF" w:rsidP="00AD14B0">
      <w:pPr>
        <w:jc w:val="both"/>
        <w:rPr>
          <w:rFonts w:ascii="Times New Roman" w:hAnsi="Times New Roman" w:cs="Times New Roman"/>
          <w:color w:val="000000"/>
        </w:rPr>
      </w:pPr>
    </w:p>
    <w:p w:rsidR="00AD14B0" w:rsidRPr="00C84312" w:rsidRDefault="00BB2853" w:rsidP="00AD14B0">
      <w:pPr>
        <w:jc w:val="both"/>
        <w:rPr>
          <w:rFonts w:ascii="Times New Roman" w:hAnsi="Times New Roman" w:cs="Times New Roman"/>
          <w:color w:val="000000"/>
        </w:rPr>
      </w:pPr>
      <w:r w:rsidRPr="00C84312">
        <w:rPr>
          <w:rFonts w:ascii="Times New Roman" w:hAnsi="Times New Roman" w:cs="Times New Roman"/>
          <w:color w:val="000000"/>
        </w:rPr>
        <w:t xml:space="preserve">Two full-time faculty members that were invited to participate in the College’s Student Learning Outcomes Assessment Team (SLOAT) conducted a study of the MTH 086 course (Introductory Algebra) in the </w:t>
      </w:r>
      <w:r w:rsidR="00C84312">
        <w:rPr>
          <w:rFonts w:ascii="Times New Roman" w:hAnsi="Times New Roman" w:cs="Times New Roman"/>
          <w:color w:val="000000"/>
        </w:rPr>
        <w:t>S</w:t>
      </w:r>
      <w:r w:rsidRPr="00C84312">
        <w:rPr>
          <w:rFonts w:ascii="Times New Roman" w:hAnsi="Times New Roman" w:cs="Times New Roman"/>
          <w:color w:val="000000"/>
        </w:rPr>
        <w:t>pring 2011 semester</w:t>
      </w:r>
      <w:r w:rsidR="00AD14B0" w:rsidRPr="00C84312">
        <w:rPr>
          <w:rFonts w:ascii="Times New Roman" w:hAnsi="Times New Roman" w:cs="Times New Roman"/>
          <w:color w:val="000000"/>
        </w:rPr>
        <w:t xml:space="preserve">.  The faculty members that conducted the study were Shohreh Andresky and Ines Figueiras, Instructors </w:t>
      </w:r>
      <w:r w:rsidR="00C84312">
        <w:rPr>
          <w:rFonts w:ascii="Times New Roman" w:hAnsi="Times New Roman" w:cs="Times New Roman"/>
          <w:color w:val="000000"/>
        </w:rPr>
        <w:t>in</w:t>
      </w:r>
      <w:r w:rsidR="00AD14B0" w:rsidRPr="00C84312">
        <w:rPr>
          <w:rFonts w:ascii="Times New Roman" w:hAnsi="Times New Roman" w:cs="Times New Roman"/>
          <w:color w:val="000000"/>
        </w:rPr>
        <w:t xml:space="preserve"> the Math and Physics Division.</w:t>
      </w:r>
    </w:p>
    <w:p w:rsidR="002C1EAF" w:rsidRPr="00C84312" w:rsidRDefault="002C1EAF" w:rsidP="00AD14B0">
      <w:pPr>
        <w:jc w:val="both"/>
        <w:rPr>
          <w:rFonts w:ascii="Times New Roman" w:hAnsi="Times New Roman" w:cs="Times New Roman"/>
          <w:color w:val="000000"/>
        </w:rPr>
      </w:pPr>
    </w:p>
    <w:p w:rsidR="002C1EAF" w:rsidRPr="00C84312" w:rsidRDefault="002C1EAF" w:rsidP="00AD14B0">
      <w:pPr>
        <w:jc w:val="both"/>
        <w:rPr>
          <w:rFonts w:ascii="Times New Roman" w:hAnsi="Times New Roman" w:cs="Times New Roman"/>
          <w:color w:val="000000"/>
        </w:rPr>
      </w:pPr>
      <w:r w:rsidRPr="00C84312">
        <w:rPr>
          <w:rFonts w:ascii="Times New Roman" w:hAnsi="Times New Roman" w:cs="Times New Roman"/>
          <w:color w:val="000000"/>
        </w:rPr>
        <w:t xml:space="preserve">MTH 086 is the most commonly offered course at Essex County College.  </w:t>
      </w:r>
      <w:r w:rsidR="00132212" w:rsidRPr="00C84312">
        <w:rPr>
          <w:rFonts w:ascii="Times New Roman" w:hAnsi="Times New Roman" w:cs="Times New Roman"/>
        </w:rPr>
        <w:t xml:space="preserve">Statistics provided by the Office of Planning, Research and Assessment over three </w:t>
      </w:r>
      <w:r w:rsidR="00C84312">
        <w:rPr>
          <w:rFonts w:ascii="Times New Roman" w:hAnsi="Times New Roman" w:cs="Times New Roman"/>
        </w:rPr>
        <w:t>F</w:t>
      </w:r>
      <w:r w:rsidR="00132212" w:rsidRPr="00C84312">
        <w:rPr>
          <w:rFonts w:ascii="Times New Roman" w:hAnsi="Times New Roman" w:cs="Times New Roman"/>
        </w:rPr>
        <w:t>all semesters (</w:t>
      </w:r>
      <w:r w:rsidR="00C84312">
        <w:rPr>
          <w:rFonts w:ascii="Times New Roman" w:hAnsi="Times New Roman" w:cs="Times New Roman"/>
        </w:rPr>
        <w:t>F</w:t>
      </w:r>
      <w:r w:rsidR="00132212" w:rsidRPr="00C84312">
        <w:rPr>
          <w:rFonts w:ascii="Times New Roman" w:hAnsi="Times New Roman" w:cs="Times New Roman"/>
        </w:rPr>
        <w:t xml:space="preserve">all 2006, </w:t>
      </w:r>
      <w:r w:rsidR="00C84312">
        <w:rPr>
          <w:rFonts w:ascii="Times New Roman" w:hAnsi="Times New Roman" w:cs="Times New Roman"/>
        </w:rPr>
        <w:t>F</w:t>
      </w:r>
      <w:r w:rsidR="00132212" w:rsidRPr="00C84312">
        <w:rPr>
          <w:rFonts w:ascii="Times New Roman" w:hAnsi="Times New Roman" w:cs="Times New Roman"/>
        </w:rPr>
        <w:t xml:space="preserve">all 2007 and </w:t>
      </w:r>
      <w:r w:rsidR="00C84312">
        <w:rPr>
          <w:rFonts w:ascii="Times New Roman" w:hAnsi="Times New Roman" w:cs="Times New Roman"/>
        </w:rPr>
        <w:t>F</w:t>
      </w:r>
      <w:r w:rsidR="00132212" w:rsidRPr="00C84312">
        <w:rPr>
          <w:rFonts w:ascii="Times New Roman" w:hAnsi="Times New Roman" w:cs="Times New Roman"/>
        </w:rPr>
        <w:t>all 2008) shows that</w:t>
      </w:r>
      <w:r w:rsidR="00C84312">
        <w:rPr>
          <w:rFonts w:ascii="Times New Roman" w:hAnsi="Times New Roman" w:cs="Times New Roman"/>
        </w:rPr>
        <w:t>,</w:t>
      </w:r>
      <w:r w:rsidR="00132212" w:rsidRPr="00C84312">
        <w:rPr>
          <w:rFonts w:ascii="Times New Roman" w:hAnsi="Times New Roman" w:cs="Times New Roman"/>
        </w:rPr>
        <w:t xml:space="preserve"> on average</w:t>
      </w:r>
      <w:r w:rsidR="00C84312">
        <w:rPr>
          <w:rFonts w:ascii="Times New Roman" w:hAnsi="Times New Roman" w:cs="Times New Roman"/>
        </w:rPr>
        <w:t>,</w:t>
      </w:r>
      <w:r w:rsidR="00132212" w:rsidRPr="00C84312">
        <w:rPr>
          <w:rFonts w:ascii="Times New Roman" w:hAnsi="Times New Roman" w:cs="Times New Roman"/>
        </w:rPr>
        <w:t xml:space="preserve"> 82% of new students to Essex County College place into MTH 086.  </w:t>
      </w:r>
      <w:r w:rsidRPr="00C84312">
        <w:rPr>
          <w:rFonts w:ascii="Times New Roman" w:hAnsi="Times New Roman" w:cs="Times New Roman"/>
          <w:color w:val="000000"/>
        </w:rPr>
        <w:t>In the 2011 Math</w:t>
      </w:r>
      <w:r w:rsidR="009679DE" w:rsidRPr="00C84312">
        <w:rPr>
          <w:rFonts w:ascii="Times New Roman" w:hAnsi="Times New Roman" w:cs="Times New Roman"/>
          <w:color w:val="000000"/>
        </w:rPr>
        <w:t>ematics</w:t>
      </w:r>
      <w:r w:rsidRPr="00C84312">
        <w:rPr>
          <w:rFonts w:ascii="Times New Roman" w:hAnsi="Times New Roman" w:cs="Times New Roman"/>
          <w:color w:val="000000"/>
        </w:rPr>
        <w:t xml:space="preserve"> Program Assessment Report, an ana</w:t>
      </w:r>
      <w:r w:rsidR="009679DE" w:rsidRPr="00C84312">
        <w:rPr>
          <w:rFonts w:ascii="Times New Roman" w:hAnsi="Times New Roman" w:cs="Times New Roman"/>
          <w:color w:val="000000"/>
        </w:rPr>
        <w:t xml:space="preserve">lysis of success rates in </w:t>
      </w:r>
      <w:r w:rsidR="00BB2853" w:rsidRPr="00C84312">
        <w:rPr>
          <w:rFonts w:ascii="Times New Roman" w:hAnsi="Times New Roman" w:cs="Times New Roman"/>
          <w:color w:val="000000"/>
        </w:rPr>
        <w:t>an</w:t>
      </w:r>
      <w:r w:rsidR="009679DE" w:rsidRPr="00C84312">
        <w:rPr>
          <w:rFonts w:ascii="Times New Roman" w:hAnsi="Times New Roman" w:cs="Times New Roman"/>
          <w:color w:val="000000"/>
        </w:rPr>
        <w:t xml:space="preserve"> eight-</w:t>
      </w:r>
      <w:r w:rsidRPr="00C84312">
        <w:rPr>
          <w:rFonts w:ascii="Times New Roman" w:hAnsi="Times New Roman" w:cs="Times New Roman"/>
          <w:color w:val="000000"/>
        </w:rPr>
        <w:t>semester time period (</w:t>
      </w:r>
      <w:r w:rsidR="00C84312">
        <w:rPr>
          <w:rFonts w:ascii="Times New Roman" w:hAnsi="Times New Roman" w:cs="Times New Roman"/>
          <w:color w:val="000000"/>
        </w:rPr>
        <w:t>S</w:t>
      </w:r>
      <w:r w:rsidRPr="00C84312">
        <w:rPr>
          <w:rFonts w:ascii="Times New Roman" w:hAnsi="Times New Roman" w:cs="Times New Roman"/>
          <w:color w:val="000000"/>
        </w:rPr>
        <w:t xml:space="preserve">pring 2006 through </w:t>
      </w:r>
      <w:r w:rsidR="00C84312">
        <w:rPr>
          <w:rFonts w:ascii="Times New Roman" w:hAnsi="Times New Roman" w:cs="Times New Roman"/>
          <w:color w:val="000000"/>
        </w:rPr>
        <w:t>F</w:t>
      </w:r>
      <w:r w:rsidRPr="00C84312">
        <w:rPr>
          <w:rFonts w:ascii="Times New Roman" w:hAnsi="Times New Roman" w:cs="Times New Roman"/>
          <w:color w:val="000000"/>
        </w:rPr>
        <w:t xml:space="preserve">all 2009) revealed a success rate of </w:t>
      </w:r>
      <w:r w:rsidR="00B15A93" w:rsidRPr="00C84312">
        <w:rPr>
          <w:rFonts w:ascii="Times New Roman" w:hAnsi="Times New Roman" w:cs="Times New Roman"/>
          <w:color w:val="000000"/>
        </w:rPr>
        <w:t xml:space="preserve">46%.   During that time period, </w:t>
      </w:r>
      <w:r w:rsidR="00C84312">
        <w:rPr>
          <w:rFonts w:ascii="Times New Roman" w:hAnsi="Times New Roman" w:cs="Times New Roman"/>
          <w:color w:val="000000"/>
        </w:rPr>
        <w:t xml:space="preserve">of the </w:t>
      </w:r>
      <w:r w:rsidR="00B15A93" w:rsidRPr="00C84312">
        <w:rPr>
          <w:rFonts w:ascii="Times New Roman" w:hAnsi="Times New Roman" w:cs="Times New Roman"/>
          <w:color w:val="000000"/>
        </w:rPr>
        <w:t xml:space="preserve">14,400 students </w:t>
      </w:r>
      <w:r w:rsidR="00C84312">
        <w:rPr>
          <w:rFonts w:ascii="Times New Roman" w:hAnsi="Times New Roman" w:cs="Times New Roman"/>
          <w:color w:val="000000"/>
        </w:rPr>
        <w:t xml:space="preserve">who </w:t>
      </w:r>
      <w:r w:rsidR="00B15A93" w:rsidRPr="00C84312">
        <w:rPr>
          <w:rFonts w:ascii="Times New Roman" w:hAnsi="Times New Roman" w:cs="Times New Roman"/>
          <w:color w:val="000000"/>
        </w:rPr>
        <w:t xml:space="preserve">took the course only 6,617 passed.   </w:t>
      </w:r>
      <w:r w:rsidRPr="00C84312">
        <w:rPr>
          <w:rFonts w:ascii="Times New Roman" w:hAnsi="Times New Roman" w:cs="Times New Roman"/>
          <w:color w:val="000000"/>
        </w:rPr>
        <w:t>The course description is</w:t>
      </w:r>
      <w:r w:rsidR="00C84312">
        <w:rPr>
          <w:rFonts w:ascii="Times New Roman" w:hAnsi="Times New Roman" w:cs="Times New Roman"/>
          <w:color w:val="000000"/>
        </w:rPr>
        <w:t xml:space="preserve"> as follows</w:t>
      </w:r>
      <w:r w:rsidRPr="00C84312">
        <w:rPr>
          <w:rFonts w:ascii="Times New Roman" w:hAnsi="Times New Roman" w:cs="Times New Roman"/>
          <w:color w:val="000000"/>
        </w:rPr>
        <w:t xml:space="preserve">: </w:t>
      </w:r>
      <w:r w:rsidR="00C84312">
        <w:rPr>
          <w:rFonts w:ascii="Times New Roman" w:hAnsi="Times New Roman" w:cs="Times New Roman"/>
          <w:color w:val="000000"/>
        </w:rPr>
        <w:t>“</w:t>
      </w:r>
      <w:r w:rsidRPr="00C84312">
        <w:rPr>
          <w:rStyle w:val="apple-style-span"/>
          <w:rFonts w:ascii="Times New Roman" w:hAnsi="Times New Roman" w:cs="Times New Roman"/>
          <w:i/>
        </w:rPr>
        <w:t>This beginning mathematics course is designed to take students from concrete arithmetic ideas to the more abstract algebraic forms of these ideas. Throughout the course, emphasis is placed on the development of arithmetic and algebraic skills and the application of these skills and concepts to the solution of practical problems. Topics covered include simplifying arithmetic and algebraic expressions, signed numbers, fractions, decimals, percents, estimations and geometric applications.</w:t>
      </w:r>
      <w:r w:rsidR="009679DE" w:rsidRPr="00C84312">
        <w:rPr>
          <w:rStyle w:val="apple-style-span"/>
          <w:rFonts w:ascii="Times New Roman" w:hAnsi="Times New Roman" w:cs="Times New Roman"/>
          <w:i/>
        </w:rPr>
        <w:t xml:space="preserve">”  </w:t>
      </w:r>
      <w:r w:rsidR="009679DE" w:rsidRPr="00C84312">
        <w:rPr>
          <w:rFonts w:ascii="Times New Roman" w:hAnsi="Times New Roman" w:cs="Times New Roman"/>
          <w:color w:val="000000"/>
        </w:rPr>
        <w:t xml:space="preserve">Basically, </w:t>
      </w:r>
      <w:r w:rsidR="009679DE" w:rsidRPr="00C84312">
        <w:rPr>
          <w:rFonts w:ascii="Times New Roman" w:hAnsi="Times New Roman" w:cs="Times New Roman"/>
        </w:rPr>
        <w:t>MTH 086 is a course that covers material that students should master in the elementary and middle school years (typically third grade through eighth grade)</w:t>
      </w:r>
      <w:r w:rsidR="001471B4" w:rsidRPr="00C84312">
        <w:rPr>
          <w:rFonts w:ascii="Times New Roman" w:hAnsi="Times New Roman" w:cs="Times New Roman"/>
          <w:color w:val="000000"/>
        </w:rPr>
        <w:t xml:space="preserve">.  </w:t>
      </w:r>
      <w:r w:rsidR="001471B4" w:rsidRPr="00C84312">
        <w:rPr>
          <w:rFonts w:ascii="Times New Roman" w:hAnsi="Times New Roman" w:cs="Times New Roman"/>
        </w:rPr>
        <w:t>Therefore, most students taking MTH 086 need to spend a considerable amount of time studying and doing homework to master the material in this course traditionally taught in a sixteen</w:t>
      </w:r>
      <w:r w:rsidR="00C84312">
        <w:rPr>
          <w:rFonts w:ascii="Times New Roman" w:hAnsi="Times New Roman" w:cs="Times New Roman"/>
        </w:rPr>
        <w:t>-</w:t>
      </w:r>
      <w:r w:rsidR="001471B4" w:rsidRPr="00C84312">
        <w:rPr>
          <w:rFonts w:ascii="Times New Roman" w:hAnsi="Times New Roman" w:cs="Times New Roman"/>
        </w:rPr>
        <w:t>week time period at ECC.</w:t>
      </w:r>
    </w:p>
    <w:p w:rsidR="00A91665" w:rsidRPr="00C84312" w:rsidRDefault="00A91665" w:rsidP="00C55804">
      <w:pPr>
        <w:pStyle w:val="Heading1"/>
        <w:rPr>
          <w:rFonts w:ascii="Times New Roman" w:hAnsi="Times New Roman" w:cs="Times New Roman"/>
          <w:sz w:val="24"/>
          <w:szCs w:val="24"/>
        </w:rPr>
      </w:pPr>
      <w:r w:rsidRPr="00C84312">
        <w:rPr>
          <w:rFonts w:ascii="Times New Roman" w:hAnsi="Times New Roman" w:cs="Times New Roman"/>
          <w:sz w:val="24"/>
          <w:szCs w:val="24"/>
        </w:rPr>
        <w:t>Purpose</w:t>
      </w:r>
    </w:p>
    <w:p w:rsidR="000D3D8F" w:rsidRPr="00C84312" w:rsidRDefault="000D3D8F" w:rsidP="00AD14B0">
      <w:pPr>
        <w:jc w:val="both"/>
        <w:rPr>
          <w:rFonts w:ascii="Times New Roman" w:hAnsi="Times New Roman" w:cs="Times New Roman"/>
        </w:rPr>
      </w:pPr>
    </w:p>
    <w:p w:rsidR="00A90ACC" w:rsidRPr="00C84312" w:rsidRDefault="00A90ACC" w:rsidP="00AD14B0">
      <w:pPr>
        <w:jc w:val="both"/>
        <w:rPr>
          <w:rFonts w:ascii="Times New Roman" w:hAnsi="Times New Roman" w:cs="Times New Roman"/>
        </w:rPr>
      </w:pPr>
      <w:r w:rsidRPr="00C84312">
        <w:rPr>
          <w:rFonts w:ascii="Times New Roman" w:hAnsi="Times New Roman" w:cs="Times New Roman"/>
        </w:rPr>
        <w:t>The</w:t>
      </w:r>
      <w:r w:rsidR="00810022" w:rsidRPr="00C84312">
        <w:rPr>
          <w:rFonts w:ascii="Times New Roman" w:hAnsi="Times New Roman" w:cs="Times New Roman"/>
        </w:rPr>
        <w:t xml:space="preserve"> study </w:t>
      </w:r>
      <w:r w:rsidRPr="00C84312">
        <w:rPr>
          <w:rFonts w:ascii="Times New Roman" w:hAnsi="Times New Roman" w:cs="Times New Roman"/>
        </w:rPr>
        <w:t xml:space="preserve">had </w:t>
      </w:r>
      <w:r w:rsidR="00C84312">
        <w:rPr>
          <w:rFonts w:ascii="Times New Roman" w:hAnsi="Times New Roman" w:cs="Times New Roman"/>
        </w:rPr>
        <w:t xml:space="preserve">the following </w:t>
      </w:r>
      <w:r w:rsidRPr="00C84312">
        <w:rPr>
          <w:rFonts w:ascii="Times New Roman" w:hAnsi="Times New Roman" w:cs="Times New Roman"/>
        </w:rPr>
        <w:t xml:space="preserve">two purposes: </w:t>
      </w:r>
      <w:r w:rsidR="00810022" w:rsidRPr="00C84312">
        <w:rPr>
          <w:rFonts w:ascii="Times New Roman" w:hAnsi="Times New Roman" w:cs="Times New Roman"/>
        </w:rPr>
        <w:t>to analyze course-level Measurabl</w:t>
      </w:r>
      <w:r w:rsidRPr="00C84312">
        <w:rPr>
          <w:rFonts w:ascii="Times New Roman" w:hAnsi="Times New Roman" w:cs="Times New Roman"/>
        </w:rPr>
        <w:t>e Performance Objectives (MPOs);</w:t>
      </w:r>
      <w:r w:rsidR="00810022" w:rsidRPr="00C84312">
        <w:rPr>
          <w:rFonts w:ascii="Times New Roman" w:hAnsi="Times New Roman" w:cs="Times New Roman"/>
        </w:rPr>
        <w:t xml:space="preserve"> and </w:t>
      </w:r>
      <w:r w:rsidR="0081509C" w:rsidRPr="00C84312">
        <w:rPr>
          <w:rFonts w:ascii="Times New Roman" w:hAnsi="Times New Roman" w:cs="Times New Roman"/>
        </w:rPr>
        <w:t xml:space="preserve">to determine the </w:t>
      </w:r>
      <w:r w:rsidR="00CA5BD8" w:rsidRPr="00C84312">
        <w:rPr>
          <w:rFonts w:ascii="Times New Roman" w:hAnsi="Times New Roman" w:cs="Times New Roman"/>
        </w:rPr>
        <w:t xml:space="preserve">impact </w:t>
      </w:r>
      <w:r w:rsidR="00176078" w:rsidRPr="00C84312">
        <w:rPr>
          <w:rFonts w:ascii="Times New Roman" w:hAnsi="Times New Roman" w:cs="Times New Roman"/>
        </w:rPr>
        <w:t>on success rates</w:t>
      </w:r>
      <w:r w:rsidR="00B8717C" w:rsidRPr="00C84312">
        <w:rPr>
          <w:rFonts w:ascii="Times New Roman" w:hAnsi="Times New Roman" w:cs="Times New Roman"/>
        </w:rPr>
        <w:t xml:space="preserve"> </w:t>
      </w:r>
      <w:r w:rsidR="00CA5BD8" w:rsidRPr="00C84312">
        <w:rPr>
          <w:rFonts w:ascii="Times New Roman" w:hAnsi="Times New Roman" w:cs="Times New Roman"/>
        </w:rPr>
        <w:t xml:space="preserve">of </w:t>
      </w:r>
      <w:r w:rsidR="00132212" w:rsidRPr="00C84312">
        <w:rPr>
          <w:rFonts w:ascii="Times New Roman" w:hAnsi="Times New Roman" w:cs="Times New Roman"/>
        </w:rPr>
        <w:t>variables such as class size,</w:t>
      </w:r>
      <w:r w:rsidR="00B8717C" w:rsidRPr="00C84312">
        <w:rPr>
          <w:rFonts w:ascii="Times New Roman" w:hAnsi="Times New Roman" w:cs="Times New Roman"/>
        </w:rPr>
        <w:t xml:space="preserve"> day classes v</w:t>
      </w:r>
      <w:r w:rsidR="00C84312">
        <w:rPr>
          <w:rFonts w:ascii="Times New Roman" w:hAnsi="Times New Roman" w:cs="Times New Roman"/>
        </w:rPr>
        <w:t>ersus</w:t>
      </w:r>
      <w:r w:rsidR="00B8717C" w:rsidRPr="00C84312">
        <w:rPr>
          <w:rFonts w:ascii="Times New Roman" w:hAnsi="Times New Roman" w:cs="Times New Roman"/>
        </w:rPr>
        <w:t xml:space="preserve"> evening classes, </w:t>
      </w:r>
      <w:r w:rsidR="002671A8" w:rsidRPr="00C84312">
        <w:rPr>
          <w:rFonts w:ascii="Times New Roman" w:hAnsi="Times New Roman" w:cs="Times New Roman"/>
        </w:rPr>
        <w:t>full-time v</w:t>
      </w:r>
      <w:r w:rsidR="00C84312">
        <w:rPr>
          <w:rFonts w:ascii="Times New Roman" w:hAnsi="Times New Roman" w:cs="Times New Roman"/>
        </w:rPr>
        <w:t>ersus</w:t>
      </w:r>
      <w:r w:rsidR="002671A8" w:rsidRPr="00C84312">
        <w:rPr>
          <w:rFonts w:ascii="Times New Roman" w:hAnsi="Times New Roman" w:cs="Times New Roman"/>
        </w:rPr>
        <w:t xml:space="preserve"> part-time instructors</w:t>
      </w:r>
      <w:r w:rsidR="00B8717C" w:rsidRPr="00C84312">
        <w:rPr>
          <w:rFonts w:ascii="Times New Roman" w:hAnsi="Times New Roman" w:cs="Times New Roman"/>
        </w:rPr>
        <w:t xml:space="preserve">, and the </w:t>
      </w:r>
      <w:r w:rsidR="00C84312">
        <w:rPr>
          <w:rFonts w:ascii="Times New Roman" w:hAnsi="Times New Roman" w:cs="Times New Roman"/>
        </w:rPr>
        <w:t>m</w:t>
      </w:r>
      <w:r w:rsidR="00B8717C" w:rsidRPr="00C84312">
        <w:rPr>
          <w:rFonts w:ascii="Times New Roman" w:hAnsi="Times New Roman" w:cs="Times New Roman"/>
        </w:rPr>
        <w:t xml:space="preserve">ain </w:t>
      </w:r>
      <w:r w:rsidR="00C84312">
        <w:rPr>
          <w:rFonts w:ascii="Times New Roman" w:hAnsi="Times New Roman" w:cs="Times New Roman"/>
        </w:rPr>
        <w:t>c</w:t>
      </w:r>
      <w:r w:rsidR="00B8717C" w:rsidRPr="00C84312">
        <w:rPr>
          <w:rFonts w:ascii="Times New Roman" w:hAnsi="Times New Roman" w:cs="Times New Roman"/>
        </w:rPr>
        <w:t>ampus v</w:t>
      </w:r>
      <w:r w:rsidR="00C84312">
        <w:rPr>
          <w:rFonts w:ascii="Times New Roman" w:hAnsi="Times New Roman" w:cs="Times New Roman"/>
        </w:rPr>
        <w:t>ersus</w:t>
      </w:r>
      <w:r w:rsidR="00B8717C" w:rsidRPr="00C84312">
        <w:rPr>
          <w:rFonts w:ascii="Times New Roman" w:hAnsi="Times New Roman" w:cs="Times New Roman"/>
        </w:rPr>
        <w:t xml:space="preserve"> the West Essex </w:t>
      </w:r>
      <w:r w:rsidR="00C84312">
        <w:rPr>
          <w:rFonts w:ascii="Times New Roman" w:hAnsi="Times New Roman" w:cs="Times New Roman"/>
        </w:rPr>
        <w:t>c</w:t>
      </w:r>
      <w:r w:rsidR="00B8717C" w:rsidRPr="00C84312">
        <w:rPr>
          <w:rFonts w:ascii="Times New Roman" w:hAnsi="Times New Roman" w:cs="Times New Roman"/>
        </w:rPr>
        <w:t>ampus</w:t>
      </w:r>
      <w:r w:rsidR="002671A8" w:rsidRPr="00C84312">
        <w:rPr>
          <w:rFonts w:ascii="Times New Roman" w:hAnsi="Times New Roman" w:cs="Times New Roman"/>
        </w:rPr>
        <w:t>.  The MPOs that were analyzed all pertain to course goal #1.  Th</w:t>
      </w:r>
      <w:r w:rsidR="00C84312">
        <w:rPr>
          <w:rFonts w:ascii="Times New Roman" w:hAnsi="Times New Roman" w:cs="Times New Roman"/>
        </w:rPr>
        <w:t>is</w:t>
      </w:r>
      <w:r w:rsidR="002671A8" w:rsidRPr="00C84312">
        <w:rPr>
          <w:rFonts w:ascii="Times New Roman" w:hAnsi="Times New Roman" w:cs="Times New Roman"/>
        </w:rPr>
        <w:t xml:space="preserve"> course goal and </w:t>
      </w:r>
      <w:r w:rsidR="00C84312">
        <w:rPr>
          <w:rFonts w:ascii="Times New Roman" w:hAnsi="Times New Roman" w:cs="Times New Roman"/>
        </w:rPr>
        <w:t xml:space="preserve">its </w:t>
      </w:r>
      <w:r w:rsidR="002671A8" w:rsidRPr="00C84312">
        <w:rPr>
          <w:rFonts w:ascii="Times New Roman" w:hAnsi="Times New Roman" w:cs="Times New Roman"/>
        </w:rPr>
        <w:t>corresponding MPOs are</w:t>
      </w:r>
      <w:r w:rsidR="00C84312">
        <w:rPr>
          <w:rFonts w:ascii="Times New Roman" w:hAnsi="Times New Roman" w:cs="Times New Roman"/>
        </w:rPr>
        <w:t xml:space="preserve"> listed below.</w:t>
      </w:r>
    </w:p>
    <w:p w:rsidR="00A90ACC" w:rsidRDefault="00A90ACC" w:rsidP="00AD14B0">
      <w:pPr>
        <w:jc w:val="both"/>
        <w:rPr>
          <w:rFonts w:ascii="Times New Roman" w:hAnsi="Times New Roman" w:cs="Times New Roman"/>
        </w:rPr>
      </w:pPr>
    </w:p>
    <w:p w:rsidR="00C84312" w:rsidRDefault="00C84312" w:rsidP="00AD14B0">
      <w:pPr>
        <w:jc w:val="both"/>
        <w:rPr>
          <w:rFonts w:ascii="Times New Roman" w:hAnsi="Times New Roman" w:cs="Times New Roman"/>
        </w:rPr>
      </w:pPr>
    </w:p>
    <w:p w:rsidR="00C84312" w:rsidRPr="00C84312" w:rsidRDefault="00C84312" w:rsidP="00AD14B0">
      <w:pPr>
        <w:jc w:val="both"/>
        <w:rPr>
          <w:rFonts w:ascii="Times New Roman" w:hAnsi="Times New Roman" w:cs="Times New Roman"/>
        </w:rPr>
      </w:pPr>
    </w:p>
    <w:p w:rsidR="002671A8" w:rsidRDefault="002671A8" w:rsidP="00AD14B0">
      <w:pPr>
        <w:jc w:val="both"/>
        <w:rPr>
          <w:rFonts w:ascii="Times New Roman" w:hAnsi="Times New Roman" w:cs="Times New Roman"/>
        </w:rPr>
      </w:pPr>
      <w:r w:rsidRPr="00C84312">
        <w:rPr>
          <w:rFonts w:ascii="Times New Roman" w:hAnsi="Times New Roman" w:cs="Times New Roman"/>
          <w:b/>
          <w:u w:val="single"/>
        </w:rPr>
        <w:lastRenderedPageBreak/>
        <w:t>Course Goal #1:</w:t>
      </w:r>
      <w:r w:rsidRPr="00C84312">
        <w:rPr>
          <w:rFonts w:ascii="Times New Roman" w:hAnsi="Times New Roman" w:cs="Times New Roman"/>
        </w:rPr>
        <w:t xml:space="preserve">  Demonstrate knowledge of the fundamental concepts and theories from arithmetic, algebra and geometry.</w:t>
      </w:r>
    </w:p>
    <w:p w:rsidR="00C84312" w:rsidRPr="00C84312" w:rsidRDefault="00C84312" w:rsidP="00AD14B0">
      <w:pPr>
        <w:jc w:val="both"/>
        <w:rPr>
          <w:rFonts w:ascii="Times New Roman" w:hAnsi="Times New Roman" w:cs="Times New Roman"/>
        </w:rPr>
      </w:pPr>
    </w:p>
    <w:p w:rsidR="00A90ACC" w:rsidRPr="00C84312" w:rsidRDefault="00A90ACC" w:rsidP="00C84312">
      <w:pPr>
        <w:pStyle w:val="ListParagraph"/>
        <w:numPr>
          <w:ilvl w:val="1"/>
          <w:numId w:val="1"/>
        </w:numPr>
        <w:tabs>
          <w:tab w:val="left" w:pos="1276"/>
        </w:tabs>
        <w:ind w:left="1276" w:hanging="556"/>
        <w:jc w:val="both"/>
        <w:rPr>
          <w:rFonts w:ascii="Times New Roman" w:eastAsia="Times New Roman" w:hAnsi="Times New Roman" w:cs="Times New Roman"/>
          <w:i/>
          <w:iCs/>
          <w:color w:val="000000"/>
        </w:rPr>
      </w:pPr>
      <w:r w:rsidRPr="00C84312">
        <w:rPr>
          <w:rFonts w:ascii="Times New Roman" w:eastAsia="Times New Roman" w:hAnsi="Times New Roman" w:cs="Times New Roman"/>
          <w:i/>
          <w:iCs/>
          <w:color w:val="000000"/>
        </w:rPr>
        <w:t>perform arithmetic operations on signed numbers;</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1.2</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perform arithmetic operations on fractions;</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1.3</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perform arithmetic operations on decimals;</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1.4</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perform arithmetic operations on percents;</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1.5</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determine the perimeter and area for simple geometric figures;</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1.6</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determine whether a ratio is a proportion;</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1.7</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convert from one unit of measure to another;</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1.8</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simplify basic algebraic operations;</w:t>
      </w:r>
      <w:r w:rsidR="00C84312" w:rsidRPr="00C84312">
        <w:rPr>
          <w:rFonts w:ascii="Times New Roman" w:eastAsia="Times New Roman" w:hAnsi="Times New Roman" w:cs="Times New Roman"/>
          <w:iCs/>
          <w:color w:val="000000"/>
        </w:rPr>
        <w:t xml:space="preserve"> and</w:t>
      </w:r>
    </w:p>
    <w:p w:rsidR="00A90ACC" w:rsidRPr="00C84312" w:rsidRDefault="00A90ACC" w:rsidP="00C84312">
      <w:pPr>
        <w:tabs>
          <w:tab w:val="left" w:pos="1276"/>
        </w:tabs>
        <w:ind w:left="720"/>
        <w:jc w:val="both"/>
        <w:rPr>
          <w:rFonts w:ascii="Times New Roman" w:eastAsia="Times New Roman" w:hAnsi="Times New Roman" w:cs="Times New Roman"/>
          <w:i/>
          <w:iCs/>
          <w:color w:val="000000"/>
        </w:rPr>
      </w:pPr>
      <w:r w:rsidRPr="00C84312">
        <w:rPr>
          <w:rFonts w:ascii="Times New Roman" w:eastAsia="Times New Roman" w:hAnsi="Times New Roman" w:cs="Times New Roman"/>
          <w:iCs/>
          <w:color w:val="000000"/>
        </w:rPr>
        <w:t>1.9</w:t>
      </w:r>
      <w:r w:rsidR="00C84312">
        <w:rPr>
          <w:rFonts w:ascii="Times New Roman" w:eastAsia="Times New Roman" w:hAnsi="Times New Roman" w:cs="Times New Roman"/>
          <w:i/>
          <w:iCs/>
          <w:color w:val="000000"/>
        </w:rPr>
        <w:tab/>
      </w:r>
      <w:r w:rsidRPr="00C84312">
        <w:rPr>
          <w:rFonts w:ascii="Times New Roman" w:eastAsia="Times New Roman" w:hAnsi="Times New Roman" w:cs="Times New Roman"/>
          <w:i/>
          <w:iCs/>
          <w:color w:val="000000"/>
        </w:rPr>
        <w:t>solve simple linear eq</w:t>
      </w:r>
      <w:r w:rsidR="00C84312">
        <w:rPr>
          <w:rFonts w:ascii="Times New Roman" w:eastAsia="Times New Roman" w:hAnsi="Times New Roman" w:cs="Times New Roman"/>
          <w:i/>
          <w:iCs/>
          <w:color w:val="000000"/>
        </w:rPr>
        <w:t>uations involving one operation.</w:t>
      </w:r>
    </w:p>
    <w:p w:rsidR="00A90ACC" w:rsidRPr="00C84312" w:rsidRDefault="00A90ACC" w:rsidP="00A90ACC">
      <w:pPr>
        <w:jc w:val="both"/>
        <w:rPr>
          <w:rFonts w:ascii="Times New Roman" w:eastAsia="Times New Roman" w:hAnsi="Times New Roman" w:cs="Times New Roman"/>
          <w:b/>
          <w:i/>
          <w:iCs/>
          <w:color w:val="000000"/>
          <w:sz w:val="28"/>
          <w:szCs w:val="28"/>
        </w:rPr>
      </w:pPr>
    </w:p>
    <w:p w:rsidR="00A91665" w:rsidRPr="00C84312" w:rsidRDefault="002671A8" w:rsidP="00E9292F">
      <w:pPr>
        <w:pStyle w:val="Heading1"/>
        <w:rPr>
          <w:rFonts w:ascii="Times New Roman" w:hAnsi="Times New Roman" w:cs="Times New Roman"/>
          <w:sz w:val="24"/>
          <w:szCs w:val="24"/>
        </w:rPr>
      </w:pPr>
      <w:r w:rsidRPr="00C84312">
        <w:rPr>
          <w:rFonts w:ascii="Times New Roman" w:hAnsi="Times New Roman" w:cs="Times New Roman"/>
          <w:sz w:val="24"/>
          <w:szCs w:val="24"/>
        </w:rPr>
        <w:t>Methodology</w:t>
      </w:r>
    </w:p>
    <w:p w:rsidR="000D3D8F" w:rsidRPr="00C84312" w:rsidRDefault="000D3D8F" w:rsidP="00AD14B0">
      <w:pPr>
        <w:jc w:val="both"/>
        <w:rPr>
          <w:rFonts w:ascii="Times New Roman" w:hAnsi="Times New Roman" w:cs="Times New Roman"/>
        </w:rPr>
      </w:pPr>
    </w:p>
    <w:p w:rsidR="00A123AE" w:rsidRPr="00C84312" w:rsidRDefault="00E9292F" w:rsidP="00AD14B0">
      <w:pPr>
        <w:jc w:val="both"/>
        <w:rPr>
          <w:rFonts w:ascii="Times New Roman" w:hAnsi="Times New Roman" w:cs="Times New Roman"/>
        </w:rPr>
      </w:pPr>
      <w:r w:rsidRPr="00C84312">
        <w:rPr>
          <w:rFonts w:ascii="Times New Roman" w:hAnsi="Times New Roman" w:cs="Times New Roman"/>
        </w:rPr>
        <w:t xml:space="preserve">Based on Linda Suskie’s book, </w:t>
      </w:r>
      <w:r w:rsidRPr="00C84312">
        <w:rPr>
          <w:rFonts w:ascii="Times New Roman" w:hAnsi="Times New Roman" w:cs="Times New Roman"/>
          <w:b/>
        </w:rPr>
        <w:t xml:space="preserve">Assessing Student Learning: </w:t>
      </w:r>
      <w:r w:rsidR="00C84312">
        <w:rPr>
          <w:rFonts w:ascii="Times New Roman" w:hAnsi="Times New Roman" w:cs="Times New Roman"/>
          <w:b/>
        </w:rPr>
        <w:t>A</w:t>
      </w:r>
      <w:r w:rsidRPr="00C84312">
        <w:rPr>
          <w:rFonts w:ascii="Times New Roman" w:hAnsi="Times New Roman" w:cs="Times New Roman"/>
          <w:b/>
        </w:rPr>
        <w:t xml:space="preserve"> </w:t>
      </w:r>
      <w:r w:rsidR="00C84312">
        <w:rPr>
          <w:rFonts w:ascii="Times New Roman" w:hAnsi="Times New Roman" w:cs="Times New Roman"/>
          <w:b/>
        </w:rPr>
        <w:t>C</w:t>
      </w:r>
      <w:r w:rsidRPr="00C84312">
        <w:rPr>
          <w:rFonts w:ascii="Times New Roman" w:hAnsi="Times New Roman" w:cs="Times New Roman"/>
          <w:b/>
        </w:rPr>
        <w:t xml:space="preserve">ommon </w:t>
      </w:r>
      <w:r w:rsidR="00C84312">
        <w:rPr>
          <w:rFonts w:ascii="Times New Roman" w:hAnsi="Times New Roman" w:cs="Times New Roman"/>
          <w:b/>
        </w:rPr>
        <w:t>S</w:t>
      </w:r>
      <w:r w:rsidRPr="00C84312">
        <w:rPr>
          <w:rFonts w:ascii="Times New Roman" w:hAnsi="Times New Roman" w:cs="Times New Roman"/>
          <w:b/>
        </w:rPr>
        <w:t xml:space="preserve">ense </w:t>
      </w:r>
      <w:r w:rsidR="00C84312">
        <w:rPr>
          <w:rFonts w:ascii="Times New Roman" w:hAnsi="Times New Roman" w:cs="Times New Roman"/>
          <w:b/>
        </w:rPr>
        <w:t>G</w:t>
      </w:r>
      <w:r w:rsidRPr="00C84312">
        <w:rPr>
          <w:rFonts w:ascii="Times New Roman" w:hAnsi="Times New Roman" w:cs="Times New Roman"/>
          <w:b/>
        </w:rPr>
        <w:t>uide</w:t>
      </w:r>
      <w:r w:rsidRPr="00C84312">
        <w:rPr>
          <w:rFonts w:ascii="Times New Roman" w:hAnsi="Times New Roman" w:cs="Times New Roman"/>
        </w:rPr>
        <w:t>, 2</w:t>
      </w:r>
      <w:r w:rsidRPr="00C84312">
        <w:rPr>
          <w:rFonts w:ascii="Times New Roman" w:hAnsi="Times New Roman" w:cs="Times New Roman"/>
          <w:vertAlign w:val="superscript"/>
        </w:rPr>
        <w:t>nd</w:t>
      </w:r>
      <w:r w:rsidRPr="00C84312">
        <w:rPr>
          <w:rFonts w:ascii="Times New Roman" w:hAnsi="Times New Roman" w:cs="Times New Roman"/>
        </w:rPr>
        <w:t xml:space="preserve"> edition, 14 sections of MTH 086 were selected to participate in the study </w:t>
      </w:r>
      <w:r w:rsidR="006418C3" w:rsidRPr="00C84312">
        <w:rPr>
          <w:rFonts w:ascii="Times New Roman" w:hAnsi="Times New Roman" w:cs="Times New Roman"/>
        </w:rPr>
        <w:t xml:space="preserve">to ensure a </w:t>
      </w:r>
      <w:r w:rsidR="00C84312">
        <w:rPr>
          <w:rFonts w:ascii="Times New Roman" w:hAnsi="Times New Roman" w:cs="Times New Roman"/>
        </w:rPr>
        <w:t xml:space="preserve">maximum </w:t>
      </w:r>
      <w:r w:rsidR="006418C3" w:rsidRPr="00C84312">
        <w:rPr>
          <w:rFonts w:ascii="Times New Roman" w:hAnsi="Times New Roman" w:cs="Times New Roman"/>
        </w:rPr>
        <w:t>5% margin o</w:t>
      </w:r>
      <w:r w:rsidR="00C84312">
        <w:rPr>
          <w:rFonts w:ascii="Times New Roman" w:hAnsi="Times New Roman" w:cs="Times New Roman"/>
        </w:rPr>
        <w:t>f</w:t>
      </w:r>
      <w:r w:rsidR="006418C3" w:rsidRPr="00C84312">
        <w:rPr>
          <w:rFonts w:ascii="Times New Roman" w:hAnsi="Times New Roman" w:cs="Times New Roman"/>
        </w:rPr>
        <w:t xml:space="preserve"> error.  This </w:t>
      </w:r>
      <w:r w:rsidR="00176078" w:rsidRPr="00C84312">
        <w:rPr>
          <w:rFonts w:ascii="Times New Roman" w:hAnsi="Times New Roman" w:cs="Times New Roman"/>
        </w:rPr>
        <w:t>would result</w:t>
      </w:r>
      <w:r w:rsidR="006418C3" w:rsidRPr="00C84312">
        <w:rPr>
          <w:rFonts w:ascii="Times New Roman" w:hAnsi="Times New Roman" w:cs="Times New Roman"/>
        </w:rPr>
        <w:t xml:space="preserve"> in a</w:t>
      </w:r>
      <w:r w:rsidRPr="00C84312">
        <w:rPr>
          <w:rFonts w:ascii="Times New Roman" w:hAnsi="Times New Roman" w:cs="Times New Roman"/>
        </w:rPr>
        <w:t xml:space="preserve"> total sample s</w:t>
      </w:r>
      <w:r w:rsidR="006418C3" w:rsidRPr="00C84312">
        <w:rPr>
          <w:rFonts w:ascii="Times New Roman" w:hAnsi="Times New Roman" w:cs="Times New Roman"/>
        </w:rPr>
        <w:t xml:space="preserve">ize of 368, but in reality only 11 instructors chose to participate in the study resulting </w:t>
      </w:r>
      <w:r w:rsidR="00C84312">
        <w:rPr>
          <w:rFonts w:ascii="Times New Roman" w:hAnsi="Times New Roman" w:cs="Times New Roman"/>
        </w:rPr>
        <w:t>in a total sample size of 271.</w:t>
      </w:r>
    </w:p>
    <w:p w:rsidR="00A123AE" w:rsidRPr="00C84312" w:rsidRDefault="00A123AE" w:rsidP="00AD14B0">
      <w:pPr>
        <w:jc w:val="both"/>
        <w:rPr>
          <w:rFonts w:ascii="Times New Roman" w:hAnsi="Times New Roman" w:cs="Times New Roman"/>
        </w:rPr>
      </w:pPr>
    </w:p>
    <w:p w:rsidR="00F97DD4" w:rsidRPr="00C84312" w:rsidRDefault="00F97DD4" w:rsidP="00F97DD4">
      <w:pPr>
        <w:pStyle w:val="Heading2"/>
        <w:rPr>
          <w:rFonts w:ascii="Times New Roman" w:hAnsi="Times New Roman" w:cs="Times New Roman"/>
          <w:sz w:val="24"/>
          <w:szCs w:val="24"/>
        </w:rPr>
      </w:pPr>
      <w:r w:rsidRPr="00C84312">
        <w:rPr>
          <w:rFonts w:ascii="Times New Roman" w:hAnsi="Times New Roman" w:cs="Times New Roman"/>
          <w:sz w:val="24"/>
          <w:szCs w:val="24"/>
        </w:rPr>
        <w:t>Sample</w:t>
      </w:r>
    </w:p>
    <w:p w:rsidR="000D3D8F" w:rsidRPr="00C84312" w:rsidRDefault="000D3D8F" w:rsidP="00AD14B0">
      <w:pPr>
        <w:jc w:val="both"/>
        <w:rPr>
          <w:rFonts w:ascii="Times New Roman" w:hAnsi="Times New Roman" w:cs="Times New Roman"/>
        </w:rPr>
      </w:pPr>
    </w:p>
    <w:p w:rsidR="002671A8" w:rsidRPr="00C84312" w:rsidRDefault="00A123AE" w:rsidP="00AD14B0">
      <w:pPr>
        <w:jc w:val="both"/>
        <w:rPr>
          <w:rFonts w:ascii="Times New Roman" w:hAnsi="Times New Roman" w:cs="Times New Roman"/>
        </w:rPr>
      </w:pPr>
      <w:r w:rsidRPr="00C84312">
        <w:rPr>
          <w:rFonts w:ascii="Times New Roman" w:hAnsi="Times New Roman" w:cs="Times New Roman"/>
        </w:rPr>
        <w:t xml:space="preserve">Sections were chosen to represent students taught by full-time or part-time faculty, during the day or evening, and on either the </w:t>
      </w:r>
      <w:r w:rsidR="00C84312">
        <w:rPr>
          <w:rFonts w:ascii="Times New Roman" w:hAnsi="Times New Roman" w:cs="Times New Roman"/>
        </w:rPr>
        <w:t>m</w:t>
      </w:r>
      <w:r w:rsidRPr="00C84312">
        <w:rPr>
          <w:rFonts w:ascii="Times New Roman" w:hAnsi="Times New Roman" w:cs="Times New Roman"/>
        </w:rPr>
        <w:t xml:space="preserve">ain </w:t>
      </w:r>
      <w:r w:rsidR="00C84312">
        <w:rPr>
          <w:rFonts w:ascii="Times New Roman" w:hAnsi="Times New Roman" w:cs="Times New Roman"/>
        </w:rPr>
        <w:t>c</w:t>
      </w:r>
      <w:r w:rsidRPr="00C84312">
        <w:rPr>
          <w:rFonts w:ascii="Times New Roman" w:hAnsi="Times New Roman" w:cs="Times New Roman"/>
        </w:rPr>
        <w:t xml:space="preserve">ampus or the West Essex </w:t>
      </w:r>
      <w:r w:rsidR="00C84312">
        <w:rPr>
          <w:rFonts w:ascii="Times New Roman" w:hAnsi="Times New Roman" w:cs="Times New Roman"/>
        </w:rPr>
        <w:t>c</w:t>
      </w:r>
      <w:r w:rsidRPr="00C84312">
        <w:rPr>
          <w:rFonts w:ascii="Times New Roman" w:hAnsi="Times New Roman" w:cs="Times New Roman"/>
        </w:rPr>
        <w:t xml:space="preserve">ampus.  </w:t>
      </w:r>
      <w:r w:rsidR="006418C3" w:rsidRPr="00C84312">
        <w:rPr>
          <w:rFonts w:ascii="Times New Roman" w:hAnsi="Times New Roman" w:cs="Times New Roman"/>
        </w:rPr>
        <w:t>Information regarding the sections that partici</w:t>
      </w:r>
      <w:r w:rsidRPr="00C84312">
        <w:rPr>
          <w:rFonts w:ascii="Times New Roman" w:hAnsi="Times New Roman" w:cs="Times New Roman"/>
        </w:rPr>
        <w:t>pated in the study is detailed</w:t>
      </w:r>
      <w:r w:rsidR="006418C3" w:rsidRPr="00C84312">
        <w:rPr>
          <w:rFonts w:ascii="Times New Roman" w:hAnsi="Times New Roman" w:cs="Times New Roman"/>
        </w:rPr>
        <w:t xml:space="preserve"> in the following table:</w:t>
      </w:r>
    </w:p>
    <w:p w:rsidR="006418C3" w:rsidRPr="00C84312" w:rsidRDefault="006418C3" w:rsidP="00AD14B0">
      <w:pPr>
        <w:jc w:val="both"/>
        <w:rPr>
          <w:rFonts w:ascii="Times New Roman" w:hAnsi="Times New Roman" w:cs="Times New Roman"/>
        </w:rPr>
      </w:pPr>
    </w:p>
    <w:tbl>
      <w:tblPr>
        <w:tblStyle w:val="TableGrid"/>
        <w:tblW w:w="8939" w:type="dxa"/>
        <w:tblInd w:w="-7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CellMar>
          <w:left w:w="115" w:type="dxa"/>
          <w:right w:w="115" w:type="dxa"/>
        </w:tblCellMar>
        <w:tblLook w:val="04A0"/>
      </w:tblPr>
      <w:tblGrid>
        <w:gridCol w:w="990"/>
        <w:gridCol w:w="1170"/>
        <w:gridCol w:w="2280"/>
        <w:gridCol w:w="1559"/>
        <w:gridCol w:w="1418"/>
        <w:gridCol w:w="1522"/>
      </w:tblGrid>
      <w:tr w:rsidR="00A123AE" w:rsidRPr="00C84312" w:rsidTr="00583F2A">
        <w:trPr>
          <w:tblHeader/>
        </w:trPr>
        <w:tc>
          <w:tcPr>
            <w:tcW w:w="990" w:type="dxa"/>
            <w:tcBorders>
              <w:top w:val="thinThickSmallGap" w:sz="24" w:space="0" w:color="auto"/>
              <w:bottom w:val="thinThickSmallGap" w:sz="24" w:space="0" w:color="auto"/>
            </w:tcBorders>
            <w:vAlign w:val="center"/>
          </w:tcPr>
          <w:p w:rsidR="00A123AE" w:rsidRPr="00C84312" w:rsidRDefault="00A123AE" w:rsidP="00A123AE">
            <w:pPr>
              <w:jc w:val="center"/>
              <w:rPr>
                <w:b/>
                <w:sz w:val="22"/>
                <w:szCs w:val="22"/>
              </w:rPr>
            </w:pPr>
            <w:r w:rsidRPr="00C84312">
              <w:rPr>
                <w:b/>
                <w:sz w:val="22"/>
                <w:szCs w:val="22"/>
              </w:rPr>
              <w:t>Section</w:t>
            </w:r>
          </w:p>
        </w:tc>
        <w:tc>
          <w:tcPr>
            <w:tcW w:w="1170" w:type="dxa"/>
            <w:tcBorders>
              <w:top w:val="thinThickSmallGap" w:sz="24" w:space="0" w:color="auto"/>
              <w:bottom w:val="thinThickSmallGap" w:sz="24" w:space="0" w:color="auto"/>
            </w:tcBorders>
            <w:vAlign w:val="center"/>
          </w:tcPr>
          <w:p w:rsidR="00A123AE" w:rsidRPr="00C84312" w:rsidRDefault="00A123AE" w:rsidP="00A123AE">
            <w:pPr>
              <w:jc w:val="center"/>
              <w:rPr>
                <w:b/>
                <w:sz w:val="22"/>
                <w:szCs w:val="22"/>
              </w:rPr>
            </w:pPr>
            <w:r w:rsidRPr="00C84312">
              <w:rPr>
                <w:b/>
                <w:sz w:val="22"/>
                <w:szCs w:val="22"/>
              </w:rPr>
              <w:t># of Students</w:t>
            </w:r>
          </w:p>
        </w:tc>
        <w:tc>
          <w:tcPr>
            <w:tcW w:w="2280" w:type="dxa"/>
            <w:tcBorders>
              <w:top w:val="thinThickSmallGap" w:sz="24" w:space="0" w:color="auto"/>
              <w:bottom w:val="thinThickSmallGap" w:sz="24" w:space="0" w:color="auto"/>
            </w:tcBorders>
            <w:vAlign w:val="center"/>
          </w:tcPr>
          <w:p w:rsidR="00A123AE" w:rsidRPr="00C84312" w:rsidRDefault="00A123AE" w:rsidP="00A123AE">
            <w:pPr>
              <w:jc w:val="center"/>
              <w:rPr>
                <w:b/>
                <w:sz w:val="22"/>
                <w:szCs w:val="22"/>
              </w:rPr>
            </w:pPr>
            <w:r w:rsidRPr="00C84312">
              <w:rPr>
                <w:b/>
                <w:sz w:val="22"/>
                <w:szCs w:val="22"/>
              </w:rPr>
              <w:t>Instructor</w:t>
            </w:r>
          </w:p>
        </w:tc>
        <w:tc>
          <w:tcPr>
            <w:tcW w:w="1559" w:type="dxa"/>
            <w:tcBorders>
              <w:top w:val="thinThickSmallGap" w:sz="24" w:space="0" w:color="auto"/>
              <w:bottom w:val="thinThickSmallGap" w:sz="24" w:space="0" w:color="auto"/>
            </w:tcBorders>
            <w:vAlign w:val="center"/>
          </w:tcPr>
          <w:p w:rsidR="00A123AE" w:rsidRPr="00C84312" w:rsidRDefault="00A123AE" w:rsidP="00A123AE">
            <w:pPr>
              <w:jc w:val="center"/>
              <w:rPr>
                <w:b/>
                <w:sz w:val="22"/>
                <w:szCs w:val="22"/>
              </w:rPr>
            </w:pPr>
            <w:r w:rsidRPr="00C84312">
              <w:rPr>
                <w:b/>
                <w:sz w:val="22"/>
                <w:szCs w:val="22"/>
              </w:rPr>
              <w:t>Full-time (F) Adjunct (A)</w:t>
            </w:r>
          </w:p>
        </w:tc>
        <w:tc>
          <w:tcPr>
            <w:tcW w:w="1418" w:type="dxa"/>
            <w:tcBorders>
              <w:top w:val="thinThickSmallGap" w:sz="24" w:space="0" w:color="auto"/>
              <w:bottom w:val="thinThickSmallGap" w:sz="24" w:space="0" w:color="auto"/>
            </w:tcBorders>
            <w:vAlign w:val="center"/>
          </w:tcPr>
          <w:p w:rsidR="00A123AE" w:rsidRPr="00C84312" w:rsidRDefault="00A123AE" w:rsidP="00A123AE">
            <w:pPr>
              <w:jc w:val="center"/>
              <w:rPr>
                <w:b/>
                <w:sz w:val="22"/>
                <w:szCs w:val="22"/>
              </w:rPr>
            </w:pPr>
            <w:r w:rsidRPr="00C84312">
              <w:rPr>
                <w:b/>
                <w:sz w:val="22"/>
                <w:szCs w:val="22"/>
              </w:rPr>
              <w:t>Day (D) Evening (E)</w:t>
            </w:r>
          </w:p>
        </w:tc>
        <w:tc>
          <w:tcPr>
            <w:tcW w:w="1522" w:type="dxa"/>
            <w:tcBorders>
              <w:top w:val="thinThickSmallGap" w:sz="24" w:space="0" w:color="auto"/>
              <w:bottom w:val="thinThickSmallGap" w:sz="24" w:space="0" w:color="auto"/>
            </w:tcBorders>
            <w:vAlign w:val="center"/>
          </w:tcPr>
          <w:p w:rsidR="00A123AE" w:rsidRPr="00C84312" w:rsidRDefault="00A123AE" w:rsidP="00A123AE">
            <w:pPr>
              <w:jc w:val="center"/>
              <w:rPr>
                <w:b/>
                <w:sz w:val="22"/>
                <w:szCs w:val="22"/>
              </w:rPr>
            </w:pPr>
            <w:r w:rsidRPr="00C84312">
              <w:rPr>
                <w:b/>
                <w:sz w:val="22"/>
                <w:szCs w:val="22"/>
              </w:rPr>
              <w:t>Main (M) West Essex (W)</w:t>
            </w:r>
          </w:p>
        </w:tc>
      </w:tr>
      <w:tr w:rsidR="00A123AE" w:rsidRPr="00C84312" w:rsidTr="00583F2A">
        <w:tc>
          <w:tcPr>
            <w:tcW w:w="990" w:type="dxa"/>
            <w:tcBorders>
              <w:top w:val="thinThickSmallGap" w:sz="24" w:space="0" w:color="auto"/>
            </w:tcBorders>
            <w:vAlign w:val="center"/>
          </w:tcPr>
          <w:p w:rsidR="00A123AE" w:rsidRPr="00C84312" w:rsidRDefault="00A123AE" w:rsidP="00A123AE">
            <w:pPr>
              <w:jc w:val="center"/>
              <w:rPr>
                <w:sz w:val="22"/>
                <w:szCs w:val="22"/>
              </w:rPr>
            </w:pPr>
            <w:r w:rsidRPr="00C84312">
              <w:rPr>
                <w:sz w:val="22"/>
                <w:szCs w:val="22"/>
              </w:rPr>
              <w:t>002</w:t>
            </w:r>
          </w:p>
        </w:tc>
        <w:tc>
          <w:tcPr>
            <w:tcW w:w="1170" w:type="dxa"/>
            <w:tcBorders>
              <w:top w:val="thinThickSmallGap" w:sz="24" w:space="0" w:color="auto"/>
            </w:tcBorders>
            <w:vAlign w:val="center"/>
          </w:tcPr>
          <w:p w:rsidR="00A123AE" w:rsidRPr="00C84312" w:rsidRDefault="00A123AE" w:rsidP="00A123AE">
            <w:pPr>
              <w:jc w:val="center"/>
              <w:rPr>
                <w:sz w:val="22"/>
                <w:szCs w:val="22"/>
              </w:rPr>
            </w:pPr>
            <w:r w:rsidRPr="00C84312">
              <w:rPr>
                <w:sz w:val="22"/>
                <w:szCs w:val="22"/>
              </w:rPr>
              <w:t>25</w:t>
            </w:r>
          </w:p>
        </w:tc>
        <w:tc>
          <w:tcPr>
            <w:tcW w:w="2280" w:type="dxa"/>
            <w:tcBorders>
              <w:top w:val="thinThickSmallGap" w:sz="24" w:space="0" w:color="auto"/>
            </w:tcBorders>
            <w:vAlign w:val="center"/>
          </w:tcPr>
          <w:p w:rsidR="00A123AE" w:rsidRPr="00C84312" w:rsidRDefault="00A123AE" w:rsidP="00A123AE">
            <w:pPr>
              <w:jc w:val="center"/>
              <w:rPr>
                <w:sz w:val="22"/>
                <w:szCs w:val="22"/>
              </w:rPr>
            </w:pPr>
            <w:r w:rsidRPr="00C84312">
              <w:rPr>
                <w:sz w:val="22"/>
                <w:szCs w:val="22"/>
              </w:rPr>
              <w:t>Matthew Turner</w:t>
            </w:r>
          </w:p>
          <w:p w:rsidR="00A123AE" w:rsidRPr="00C84312" w:rsidRDefault="00A123AE" w:rsidP="00A123AE">
            <w:pPr>
              <w:jc w:val="center"/>
              <w:rPr>
                <w:sz w:val="18"/>
                <w:szCs w:val="18"/>
              </w:rPr>
            </w:pPr>
            <w:r w:rsidRPr="00C84312">
              <w:rPr>
                <w:sz w:val="18"/>
                <w:szCs w:val="18"/>
              </w:rPr>
              <w:t>mzmatt@hotmail.com</w:t>
            </w:r>
          </w:p>
        </w:tc>
        <w:tc>
          <w:tcPr>
            <w:tcW w:w="1559" w:type="dxa"/>
            <w:tcBorders>
              <w:top w:val="thinThickSmallGap" w:sz="24" w:space="0" w:color="auto"/>
            </w:tcBorders>
            <w:vAlign w:val="center"/>
          </w:tcPr>
          <w:p w:rsidR="00A123AE" w:rsidRPr="00C84312" w:rsidRDefault="00A123AE" w:rsidP="00A123AE">
            <w:pPr>
              <w:jc w:val="center"/>
              <w:rPr>
                <w:sz w:val="22"/>
                <w:szCs w:val="22"/>
              </w:rPr>
            </w:pPr>
            <w:r w:rsidRPr="00C84312">
              <w:rPr>
                <w:sz w:val="22"/>
                <w:szCs w:val="22"/>
              </w:rPr>
              <w:t>A</w:t>
            </w:r>
          </w:p>
        </w:tc>
        <w:tc>
          <w:tcPr>
            <w:tcW w:w="1418" w:type="dxa"/>
            <w:tcBorders>
              <w:top w:val="thinThickSmallGap" w:sz="24" w:space="0" w:color="auto"/>
            </w:tcBorders>
            <w:vAlign w:val="center"/>
          </w:tcPr>
          <w:p w:rsidR="00A123AE" w:rsidRPr="00C84312" w:rsidRDefault="00A123AE" w:rsidP="00A123AE">
            <w:pPr>
              <w:jc w:val="center"/>
              <w:rPr>
                <w:sz w:val="22"/>
                <w:szCs w:val="22"/>
              </w:rPr>
            </w:pPr>
            <w:r w:rsidRPr="00C84312">
              <w:rPr>
                <w:sz w:val="22"/>
                <w:szCs w:val="22"/>
              </w:rPr>
              <w:t>D</w:t>
            </w:r>
          </w:p>
        </w:tc>
        <w:tc>
          <w:tcPr>
            <w:tcW w:w="1522" w:type="dxa"/>
            <w:tcBorders>
              <w:top w:val="thinThickSmallGap" w:sz="24" w:space="0" w:color="auto"/>
            </w:tcBorders>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005</w:t>
            </w:r>
          </w:p>
        </w:tc>
        <w:tc>
          <w:tcPr>
            <w:tcW w:w="1170" w:type="dxa"/>
            <w:vAlign w:val="center"/>
          </w:tcPr>
          <w:p w:rsidR="00A123AE" w:rsidRPr="00C84312" w:rsidRDefault="00A123AE" w:rsidP="00A123AE">
            <w:pPr>
              <w:jc w:val="center"/>
              <w:rPr>
                <w:sz w:val="22"/>
                <w:szCs w:val="22"/>
              </w:rPr>
            </w:pPr>
            <w:r w:rsidRPr="00C84312">
              <w:rPr>
                <w:sz w:val="22"/>
                <w:szCs w:val="22"/>
              </w:rPr>
              <w:t>28</w:t>
            </w:r>
          </w:p>
        </w:tc>
        <w:tc>
          <w:tcPr>
            <w:tcW w:w="2280" w:type="dxa"/>
            <w:vAlign w:val="center"/>
          </w:tcPr>
          <w:p w:rsidR="00A123AE" w:rsidRPr="00C84312" w:rsidRDefault="00A123AE" w:rsidP="00A123AE">
            <w:pPr>
              <w:jc w:val="center"/>
              <w:rPr>
                <w:sz w:val="22"/>
                <w:szCs w:val="22"/>
              </w:rPr>
            </w:pPr>
            <w:r w:rsidRPr="00C84312">
              <w:rPr>
                <w:sz w:val="22"/>
                <w:szCs w:val="22"/>
              </w:rPr>
              <w:t>James Freeman</w:t>
            </w:r>
          </w:p>
          <w:p w:rsidR="00A123AE" w:rsidRPr="00C84312" w:rsidRDefault="00A123AE" w:rsidP="00A123AE">
            <w:pPr>
              <w:jc w:val="center"/>
              <w:rPr>
                <w:sz w:val="18"/>
                <w:szCs w:val="18"/>
              </w:rPr>
            </w:pPr>
            <w:r w:rsidRPr="00C84312">
              <w:rPr>
                <w:sz w:val="18"/>
                <w:szCs w:val="18"/>
              </w:rPr>
              <w:t>jfree23_15@hotmail.com</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008</w:t>
            </w:r>
          </w:p>
        </w:tc>
        <w:tc>
          <w:tcPr>
            <w:tcW w:w="1170" w:type="dxa"/>
            <w:vAlign w:val="center"/>
          </w:tcPr>
          <w:p w:rsidR="00A123AE" w:rsidRPr="00C84312" w:rsidRDefault="00A123AE" w:rsidP="00A123AE">
            <w:pPr>
              <w:jc w:val="center"/>
              <w:rPr>
                <w:sz w:val="22"/>
                <w:szCs w:val="22"/>
              </w:rPr>
            </w:pPr>
            <w:r w:rsidRPr="00C84312">
              <w:rPr>
                <w:sz w:val="22"/>
                <w:szCs w:val="22"/>
              </w:rPr>
              <w:t>24</w:t>
            </w:r>
          </w:p>
        </w:tc>
        <w:tc>
          <w:tcPr>
            <w:tcW w:w="2280" w:type="dxa"/>
            <w:vAlign w:val="center"/>
          </w:tcPr>
          <w:p w:rsidR="00A123AE" w:rsidRPr="00C84312" w:rsidRDefault="00A123AE" w:rsidP="00A123AE">
            <w:pPr>
              <w:jc w:val="center"/>
              <w:rPr>
                <w:sz w:val="22"/>
                <w:szCs w:val="22"/>
              </w:rPr>
            </w:pPr>
            <w:r w:rsidRPr="00C84312">
              <w:rPr>
                <w:sz w:val="22"/>
                <w:szCs w:val="22"/>
              </w:rPr>
              <w:t>Ines Figueiras</w:t>
            </w:r>
          </w:p>
          <w:p w:rsidR="00A123AE" w:rsidRPr="00C84312" w:rsidRDefault="00A123AE" w:rsidP="00A123AE">
            <w:pPr>
              <w:jc w:val="center"/>
              <w:rPr>
                <w:sz w:val="18"/>
                <w:szCs w:val="18"/>
              </w:rPr>
            </w:pPr>
            <w:r w:rsidRPr="00C84312">
              <w:rPr>
                <w:sz w:val="18"/>
                <w:szCs w:val="18"/>
              </w:rPr>
              <w:t>ifigueir@essex.edu</w:t>
            </w:r>
          </w:p>
        </w:tc>
        <w:tc>
          <w:tcPr>
            <w:tcW w:w="1559" w:type="dxa"/>
            <w:vAlign w:val="center"/>
          </w:tcPr>
          <w:p w:rsidR="00A123AE" w:rsidRPr="00C84312" w:rsidRDefault="00A123AE" w:rsidP="00A123AE">
            <w:pPr>
              <w:jc w:val="center"/>
              <w:rPr>
                <w:sz w:val="22"/>
                <w:szCs w:val="22"/>
              </w:rPr>
            </w:pPr>
            <w:r w:rsidRPr="00C84312">
              <w:rPr>
                <w:sz w:val="22"/>
                <w:szCs w:val="22"/>
              </w:rPr>
              <w:t>F</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017</w:t>
            </w:r>
          </w:p>
        </w:tc>
        <w:tc>
          <w:tcPr>
            <w:tcW w:w="1170" w:type="dxa"/>
            <w:vAlign w:val="center"/>
          </w:tcPr>
          <w:p w:rsidR="00A123AE" w:rsidRPr="00C84312" w:rsidRDefault="00A123AE" w:rsidP="00A123AE">
            <w:pPr>
              <w:jc w:val="center"/>
              <w:rPr>
                <w:sz w:val="22"/>
                <w:szCs w:val="22"/>
              </w:rPr>
            </w:pPr>
            <w:r w:rsidRPr="00C84312">
              <w:rPr>
                <w:sz w:val="22"/>
                <w:szCs w:val="22"/>
              </w:rPr>
              <w:t>24</w:t>
            </w:r>
          </w:p>
        </w:tc>
        <w:tc>
          <w:tcPr>
            <w:tcW w:w="2280" w:type="dxa"/>
            <w:vAlign w:val="center"/>
          </w:tcPr>
          <w:p w:rsidR="00A123AE" w:rsidRPr="00C84312" w:rsidRDefault="00A123AE" w:rsidP="00A123AE">
            <w:pPr>
              <w:jc w:val="center"/>
              <w:rPr>
                <w:sz w:val="22"/>
                <w:szCs w:val="22"/>
              </w:rPr>
            </w:pPr>
            <w:r w:rsidRPr="00C84312">
              <w:rPr>
                <w:sz w:val="22"/>
                <w:szCs w:val="22"/>
              </w:rPr>
              <w:t>Ming McCall</w:t>
            </w:r>
          </w:p>
          <w:p w:rsidR="00A123AE" w:rsidRPr="00C84312" w:rsidRDefault="00A123AE" w:rsidP="00A123AE">
            <w:pPr>
              <w:jc w:val="center"/>
              <w:rPr>
                <w:sz w:val="18"/>
                <w:szCs w:val="18"/>
              </w:rPr>
            </w:pPr>
            <w:r w:rsidRPr="00C84312">
              <w:rPr>
                <w:sz w:val="18"/>
                <w:szCs w:val="18"/>
              </w:rPr>
              <w:t>mccall@essex.edu</w:t>
            </w:r>
          </w:p>
        </w:tc>
        <w:tc>
          <w:tcPr>
            <w:tcW w:w="1559" w:type="dxa"/>
            <w:vAlign w:val="center"/>
          </w:tcPr>
          <w:p w:rsidR="00A123AE" w:rsidRPr="00C84312" w:rsidRDefault="00A123AE" w:rsidP="00A123AE">
            <w:pPr>
              <w:jc w:val="center"/>
              <w:rPr>
                <w:sz w:val="22"/>
                <w:szCs w:val="22"/>
              </w:rPr>
            </w:pPr>
            <w:r w:rsidRPr="00C84312">
              <w:rPr>
                <w:sz w:val="22"/>
                <w:szCs w:val="22"/>
              </w:rPr>
              <w:t>F</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018</w:t>
            </w:r>
          </w:p>
        </w:tc>
        <w:tc>
          <w:tcPr>
            <w:tcW w:w="1170" w:type="dxa"/>
            <w:vAlign w:val="center"/>
          </w:tcPr>
          <w:p w:rsidR="00A123AE" w:rsidRPr="00C84312" w:rsidRDefault="00A123AE" w:rsidP="00A123AE">
            <w:pPr>
              <w:jc w:val="center"/>
              <w:rPr>
                <w:sz w:val="22"/>
                <w:szCs w:val="22"/>
              </w:rPr>
            </w:pPr>
            <w:r w:rsidRPr="00C84312">
              <w:rPr>
                <w:sz w:val="22"/>
                <w:szCs w:val="22"/>
              </w:rPr>
              <w:t>20</w:t>
            </w:r>
          </w:p>
        </w:tc>
        <w:tc>
          <w:tcPr>
            <w:tcW w:w="2280" w:type="dxa"/>
            <w:vAlign w:val="center"/>
          </w:tcPr>
          <w:p w:rsidR="00A123AE" w:rsidRPr="00C84312" w:rsidRDefault="00A123AE" w:rsidP="00A123AE">
            <w:pPr>
              <w:jc w:val="center"/>
              <w:rPr>
                <w:sz w:val="22"/>
                <w:szCs w:val="22"/>
              </w:rPr>
            </w:pPr>
            <w:r w:rsidRPr="00C84312">
              <w:rPr>
                <w:sz w:val="22"/>
                <w:szCs w:val="22"/>
              </w:rPr>
              <w:t>Abraham Shaban</w:t>
            </w:r>
          </w:p>
          <w:p w:rsidR="00A123AE" w:rsidRPr="00C84312" w:rsidRDefault="00A123AE" w:rsidP="00A123AE">
            <w:pPr>
              <w:jc w:val="center"/>
              <w:rPr>
                <w:sz w:val="18"/>
                <w:szCs w:val="18"/>
              </w:rPr>
            </w:pPr>
            <w:r w:rsidRPr="00C84312">
              <w:rPr>
                <w:sz w:val="18"/>
                <w:szCs w:val="18"/>
              </w:rPr>
              <w:t>abeshaban@aol.com</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019</w:t>
            </w:r>
          </w:p>
        </w:tc>
        <w:tc>
          <w:tcPr>
            <w:tcW w:w="1170" w:type="dxa"/>
            <w:vAlign w:val="center"/>
          </w:tcPr>
          <w:p w:rsidR="00A123AE" w:rsidRPr="00C84312" w:rsidRDefault="00A123AE" w:rsidP="00A123AE">
            <w:pPr>
              <w:jc w:val="center"/>
              <w:rPr>
                <w:sz w:val="22"/>
                <w:szCs w:val="22"/>
              </w:rPr>
            </w:pPr>
            <w:r w:rsidRPr="00C84312">
              <w:rPr>
                <w:sz w:val="22"/>
                <w:szCs w:val="22"/>
              </w:rPr>
              <w:t>25</w:t>
            </w:r>
          </w:p>
        </w:tc>
        <w:tc>
          <w:tcPr>
            <w:tcW w:w="2280" w:type="dxa"/>
            <w:vAlign w:val="center"/>
          </w:tcPr>
          <w:p w:rsidR="00A123AE" w:rsidRPr="00C84312" w:rsidRDefault="00A123AE" w:rsidP="00A123AE">
            <w:pPr>
              <w:jc w:val="center"/>
              <w:rPr>
                <w:sz w:val="22"/>
                <w:szCs w:val="22"/>
              </w:rPr>
            </w:pPr>
            <w:r w:rsidRPr="00C84312">
              <w:rPr>
                <w:sz w:val="22"/>
                <w:szCs w:val="22"/>
              </w:rPr>
              <w:t>John Bottger</w:t>
            </w:r>
          </w:p>
          <w:p w:rsidR="00A123AE" w:rsidRPr="00C84312" w:rsidRDefault="00A123AE" w:rsidP="00A123AE">
            <w:pPr>
              <w:jc w:val="center"/>
              <w:rPr>
                <w:sz w:val="18"/>
                <w:szCs w:val="18"/>
              </w:rPr>
            </w:pPr>
            <w:r w:rsidRPr="00C84312">
              <w:rPr>
                <w:sz w:val="18"/>
                <w:szCs w:val="18"/>
              </w:rPr>
              <w:t>bottgeru@aol.com</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025</w:t>
            </w:r>
          </w:p>
        </w:tc>
        <w:tc>
          <w:tcPr>
            <w:tcW w:w="1170" w:type="dxa"/>
            <w:vAlign w:val="center"/>
          </w:tcPr>
          <w:p w:rsidR="00A123AE" w:rsidRPr="00C84312" w:rsidRDefault="00A123AE" w:rsidP="00A123AE">
            <w:pPr>
              <w:jc w:val="center"/>
              <w:rPr>
                <w:sz w:val="22"/>
                <w:szCs w:val="22"/>
              </w:rPr>
            </w:pPr>
            <w:r w:rsidRPr="00C84312">
              <w:rPr>
                <w:sz w:val="22"/>
                <w:szCs w:val="22"/>
              </w:rPr>
              <w:t>14</w:t>
            </w:r>
          </w:p>
        </w:tc>
        <w:tc>
          <w:tcPr>
            <w:tcW w:w="2280" w:type="dxa"/>
            <w:vAlign w:val="center"/>
          </w:tcPr>
          <w:p w:rsidR="00A123AE" w:rsidRPr="00C84312" w:rsidRDefault="00A123AE" w:rsidP="00A123AE">
            <w:pPr>
              <w:jc w:val="center"/>
              <w:rPr>
                <w:sz w:val="22"/>
                <w:szCs w:val="22"/>
              </w:rPr>
            </w:pPr>
            <w:r w:rsidRPr="00C84312">
              <w:rPr>
                <w:sz w:val="22"/>
                <w:szCs w:val="22"/>
              </w:rPr>
              <w:t>Anthony Bevilacqua</w:t>
            </w:r>
          </w:p>
          <w:p w:rsidR="00A123AE" w:rsidRPr="00C84312" w:rsidRDefault="00A123AE" w:rsidP="00A123AE">
            <w:pPr>
              <w:jc w:val="center"/>
              <w:rPr>
                <w:sz w:val="18"/>
                <w:szCs w:val="18"/>
              </w:rPr>
            </w:pPr>
            <w:r w:rsidRPr="00C84312">
              <w:rPr>
                <w:sz w:val="18"/>
                <w:szCs w:val="18"/>
              </w:rPr>
              <w:t>a.m.bevilacqua@earthlink.</w:t>
            </w:r>
          </w:p>
          <w:p w:rsidR="00A123AE" w:rsidRPr="00C84312" w:rsidRDefault="00A123AE" w:rsidP="00A123AE">
            <w:pPr>
              <w:jc w:val="center"/>
              <w:rPr>
                <w:sz w:val="22"/>
                <w:szCs w:val="22"/>
              </w:rPr>
            </w:pPr>
            <w:r w:rsidRPr="00C84312">
              <w:rPr>
                <w:sz w:val="18"/>
                <w:szCs w:val="18"/>
              </w:rPr>
              <w:t>net</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B01</w:t>
            </w:r>
          </w:p>
        </w:tc>
        <w:tc>
          <w:tcPr>
            <w:tcW w:w="1170" w:type="dxa"/>
            <w:vAlign w:val="center"/>
          </w:tcPr>
          <w:p w:rsidR="00A123AE" w:rsidRPr="00C84312" w:rsidRDefault="00A123AE" w:rsidP="00A123AE">
            <w:pPr>
              <w:jc w:val="center"/>
              <w:rPr>
                <w:sz w:val="22"/>
                <w:szCs w:val="22"/>
              </w:rPr>
            </w:pPr>
            <w:r w:rsidRPr="00C84312">
              <w:rPr>
                <w:sz w:val="22"/>
                <w:szCs w:val="22"/>
              </w:rPr>
              <w:t>24</w:t>
            </w:r>
          </w:p>
        </w:tc>
        <w:tc>
          <w:tcPr>
            <w:tcW w:w="2280" w:type="dxa"/>
            <w:vAlign w:val="center"/>
          </w:tcPr>
          <w:p w:rsidR="00A123AE" w:rsidRPr="00C84312" w:rsidRDefault="00A123AE" w:rsidP="00A123AE">
            <w:pPr>
              <w:jc w:val="center"/>
              <w:rPr>
                <w:sz w:val="22"/>
                <w:szCs w:val="22"/>
              </w:rPr>
            </w:pPr>
            <w:r w:rsidRPr="00C84312">
              <w:rPr>
                <w:sz w:val="22"/>
                <w:szCs w:val="22"/>
              </w:rPr>
              <w:t>Douglas Platt</w:t>
            </w:r>
          </w:p>
          <w:p w:rsidR="00A123AE" w:rsidRPr="00C84312" w:rsidRDefault="00A123AE" w:rsidP="00A123AE">
            <w:pPr>
              <w:jc w:val="center"/>
              <w:rPr>
                <w:sz w:val="18"/>
                <w:szCs w:val="18"/>
              </w:rPr>
            </w:pPr>
            <w:r w:rsidRPr="00C84312">
              <w:rPr>
                <w:sz w:val="18"/>
                <w:szCs w:val="18"/>
              </w:rPr>
              <w:t>douglasmplatt@optonline.</w:t>
            </w:r>
          </w:p>
          <w:p w:rsidR="00A123AE" w:rsidRPr="00C84312" w:rsidRDefault="00A123AE" w:rsidP="00A123AE">
            <w:pPr>
              <w:jc w:val="center"/>
              <w:rPr>
                <w:sz w:val="22"/>
                <w:szCs w:val="22"/>
              </w:rPr>
            </w:pPr>
            <w:r w:rsidRPr="00C84312">
              <w:rPr>
                <w:sz w:val="18"/>
                <w:szCs w:val="18"/>
              </w:rPr>
              <w:t>net</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M</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CW3</w:t>
            </w:r>
          </w:p>
        </w:tc>
        <w:tc>
          <w:tcPr>
            <w:tcW w:w="1170" w:type="dxa"/>
            <w:vAlign w:val="center"/>
          </w:tcPr>
          <w:p w:rsidR="00A123AE" w:rsidRPr="00C84312" w:rsidRDefault="00A123AE" w:rsidP="00A123AE">
            <w:pPr>
              <w:jc w:val="center"/>
              <w:rPr>
                <w:sz w:val="22"/>
                <w:szCs w:val="22"/>
              </w:rPr>
            </w:pPr>
            <w:r w:rsidRPr="00C84312">
              <w:rPr>
                <w:sz w:val="22"/>
                <w:szCs w:val="22"/>
              </w:rPr>
              <w:t>30</w:t>
            </w:r>
          </w:p>
        </w:tc>
        <w:tc>
          <w:tcPr>
            <w:tcW w:w="2280" w:type="dxa"/>
            <w:vAlign w:val="center"/>
          </w:tcPr>
          <w:p w:rsidR="00A123AE" w:rsidRPr="00C84312" w:rsidRDefault="00A123AE" w:rsidP="00A123AE">
            <w:pPr>
              <w:jc w:val="center"/>
              <w:rPr>
                <w:sz w:val="22"/>
                <w:szCs w:val="22"/>
              </w:rPr>
            </w:pPr>
            <w:r w:rsidRPr="00C84312">
              <w:rPr>
                <w:sz w:val="22"/>
                <w:szCs w:val="22"/>
              </w:rPr>
              <w:t>Taran Alexander</w:t>
            </w:r>
          </w:p>
          <w:p w:rsidR="00A123AE" w:rsidRPr="00583F2A" w:rsidRDefault="00A123AE" w:rsidP="00A123AE">
            <w:pPr>
              <w:pStyle w:val="PlainText"/>
              <w:jc w:val="center"/>
              <w:rPr>
                <w:rFonts w:ascii="Times New Roman" w:hAnsi="Times New Roman"/>
                <w:sz w:val="18"/>
                <w:szCs w:val="18"/>
              </w:rPr>
            </w:pPr>
            <w:r w:rsidRPr="00583F2A">
              <w:rPr>
                <w:rFonts w:ascii="Times New Roman" w:hAnsi="Times New Roman"/>
                <w:sz w:val="18"/>
                <w:szCs w:val="18"/>
              </w:rPr>
              <w:t>alextaran@optonline.net</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W</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CW4</w:t>
            </w:r>
          </w:p>
        </w:tc>
        <w:tc>
          <w:tcPr>
            <w:tcW w:w="1170" w:type="dxa"/>
            <w:vAlign w:val="center"/>
          </w:tcPr>
          <w:p w:rsidR="00A123AE" w:rsidRPr="00C84312" w:rsidRDefault="00A123AE" w:rsidP="00A123AE">
            <w:pPr>
              <w:jc w:val="center"/>
              <w:rPr>
                <w:sz w:val="22"/>
                <w:szCs w:val="22"/>
              </w:rPr>
            </w:pPr>
            <w:r w:rsidRPr="00C84312">
              <w:rPr>
                <w:sz w:val="22"/>
                <w:szCs w:val="22"/>
              </w:rPr>
              <w:t>35</w:t>
            </w:r>
          </w:p>
        </w:tc>
        <w:tc>
          <w:tcPr>
            <w:tcW w:w="2280" w:type="dxa"/>
            <w:vAlign w:val="center"/>
          </w:tcPr>
          <w:p w:rsidR="00A123AE" w:rsidRPr="00C84312" w:rsidRDefault="00A123AE" w:rsidP="00A123AE">
            <w:pPr>
              <w:jc w:val="center"/>
              <w:rPr>
                <w:sz w:val="22"/>
                <w:szCs w:val="22"/>
              </w:rPr>
            </w:pPr>
            <w:r w:rsidRPr="00C84312">
              <w:rPr>
                <w:sz w:val="22"/>
                <w:szCs w:val="22"/>
              </w:rPr>
              <w:t>Nataliya Chentsova</w:t>
            </w:r>
          </w:p>
          <w:p w:rsidR="00A123AE" w:rsidRPr="00C84312" w:rsidRDefault="00A123AE" w:rsidP="00A123AE">
            <w:pPr>
              <w:jc w:val="center"/>
              <w:rPr>
                <w:sz w:val="18"/>
                <w:szCs w:val="18"/>
              </w:rPr>
            </w:pPr>
            <w:r w:rsidRPr="00C84312">
              <w:rPr>
                <w:sz w:val="18"/>
                <w:szCs w:val="18"/>
              </w:rPr>
              <w:t>nchentsova@yahoo.com</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D</w:t>
            </w:r>
          </w:p>
        </w:tc>
        <w:tc>
          <w:tcPr>
            <w:tcW w:w="1522" w:type="dxa"/>
            <w:vAlign w:val="center"/>
          </w:tcPr>
          <w:p w:rsidR="00A123AE" w:rsidRPr="00C84312" w:rsidRDefault="00A123AE" w:rsidP="00A123AE">
            <w:pPr>
              <w:jc w:val="center"/>
              <w:rPr>
                <w:sz w:val="22"/>
                <w:szCs w:val="22"/>
              </w:rPr>
            </w:pPr>
            <w:r w:rsidRPr="00C84312">
              <w:rPr>
                <w:sz w:val="22"/>
                <w:szCs w:val="22"/>
              </w:rPr>
              <w:t>W</w:t>
            </w:r>
          </w:p>
        </w:tc>
      </w:tr>
      <w:tr w:rsidR="00A123AE" w:rsidRPr="00C84312" w:rsidTr="00583F2A">
        <w:tc>
          <w:tcPr>
            <w:tcW w:w="990" w:type="dxa"/>
            <w:vAlign w:val="center"/>
          </w:tcPr>
          <w:p w:rsidR="00A123AE" w:rsidRPr="00C84312" w:rsidRDefault="00A123AE" w:rsidP="00A123AE">
            <w:pPr>
              <w:jc w:val="center"/>
              <w:rPr>
                <w:sz w:val="22"/>
                <w:szCs w:val="22"/>
              </w:rPr>
            </w:pPr>
            <w:r w:rsidRPr="00C84312">
              <w:rPr>
                <w:sz w:val="22"/>
                <w:szCs w:val="22"/>
              </w:rPr>
              <w:t>CWC</w:t>
            </w:r>
          </w:p>
        </w:tc>
        <w:tc>
          <w:tcPr>
            <w:tcW w:w="1170" w:type="dxa"/>
            <w:vAlign w:val="center"/>
          </w:tcPr>
          <w:p w:rsidR="00A123AE" w:rsidRPr="00C84312" w:rsidRDefault="00A123AE" w:rsidP="00A123AE">
            <w:pPr>
              <w:jc w:val="center"/>
              <w:rPr>
                <w:sz w:val="22"/>
                <w:szCs w:val="22"/>
              </w:rPr>
            </w:pPr>
            <w:r w:rsidRPr="00C84312">
              <w:rPr>
                <w:sz w:val="22"/>
                <w:szCs w:val="22"/>
              </w:rPr>
              <w:t>22</w:t>
            </w:r>
          </w:p>
        </w:tc>
        <w:tc>
          <w:tcPr>
            <w:tcW w:w="2280" w:type="dxa"/>
            <w:vAlign w:val="center"/>
          </w:tcPr>
          <w:p w:rsidR="00A123AE" w:rsidRPr="00C84312" w:rsidRDefault="00A123AE" w:rsidP="00A123AE">
            <w:pPr>
              <w:jc w:val="center"/>
              <w:rPr>
                <w:sz w:val="22"/>
                <w:szCs w:val="22"/>
              </w:rPr>
            </w:pPr>
            <w:r w:rsidRPr="00C84312">
              <w:rPr>
                <w:sz w:val="22"/>
                <w:szCs w:val="22"/>
              </w:rPr>
              <w:t>Anthony Pompeii</w:t>
            </w:r>
          </w:p>
          <w:p w:rsidR="00A123AE" w:rsidRPr="00C84312" w:rsidRDefault="00A123AE" w:rsidP="00A123AE">
            <w:pPr>
              <w:jc w:val="center"/>
              <w:rPr>
                <w:sz w:val="18"/>
                <w:szCs w:val="18"/>
              </w:rPr>
            </w:pPr>
            <w:r w:rsidRPr="00C84312">
              <w:rPr>
                <w:sz w:val="18"/>
                <w:szCs w:val="18"/>
              </w:rPr>
              <w:t>antajp@aol.com</w:t>
            </w:r>
          </w:p>
        </w:tc>
        <w:tc>
          <w:tcPr>
            <w:tcW w:w="1559" w:type="dxa"/>
            <w:vAlign w:val="center"/>
          </w:tcPr>
          <w:p w:rsidR="00A123AE" w:rsidRPr="00C84312" w:rsidRDefault="00A123AE" w:rsidP="00A123AE">
            <w:pPr>
              <w:jc w:val="center"/>
              <w:rPr>
                <w:sz w:val="22"/>
                <w:szCs w:val="22"/>
              </w:rPr>
            </w:pPr>
            <w:r w:rsidRPr="00C84312">
              <w:rPr>
                <w:sz w:val="22"/>
                <w:szCs w:val="22"/>
              </w:rPr>
              <w:t>A</w:t>
            </w:r>
          </w:p>
        </w:tc>
        <w:tc>
          <w:tcPr>
            <w:tcW w:w="1418" w:type="dxa"/>
            <w:vAlign w:val="center"/>
          </w:tcPr>
          <w:p w:rsidR="00A123AE" w:rsidRPr="00C84312" w:rsidRDefault="00A123AE" w:rsidP="00A123AE">
            <w:pPr>
              <w:jc w:val="center"/>
              <w:rPr>
                <w:sz w:val="22"/>
                <w:szCs w:val="22"/>
              </w:rPr>
            </w:pPr>
            <w:r w:rsidRPr="00C84312">
              <w:rPr>
                <w:sz w:val="22"/>
                <w:szCs w:val="22"/>
              </w:rPr>
              <w:t>E</w:t>
            </w:r>
          </w:p>
        </w:tc>
        <w:tc>
          <w:tcPr>
            <w:tcW w:w="1522" w:type="dxa"/>
            <w:vAlign w:val="center"/>
          </w:tcPr>
          <w:p w:rsidR="00A123AE" w:rsidRPr="00C84312" w:rsidRDefault="00A123AE" w:rsidP="00A123AE">
            <w:pPr>
              <w:jc w:val="center"/>
              <w:rPr>
                <w:sz w:val="22"/>
                <w:szCs w:val="22"/>
              </w:rPr>
            </w:pPr>
            <w:r w:rsidRPr="00C84312">
              <w:rPr>
                <w:sz w:val="22"/>
                <w:szCs w:val="22"/>
              </w:rPr>
              <w:t>W</w:t>
            </w:r>
          </w:p>
        </w:tc>
      </w:tr>
      <w:tr w:rsidR="00A123AE" w:rsidRPr="00C84312" w:rsidTr="00583F2A">
        <w:trPr>
          <w:trHeight w:val="485"/>
        </w:trPr>
        <w:tc>
          <w:tcPr>
            <w:tcW w:w="990" w:type="dxa"/>
            <w:vAlign w:val="center"/>
          </w:tcPr>
          <w:p w:rsidR="00A123AE" w:rsidRPr="00C84312" w:rsidRDefault="00A123AE" w:rsidP="00A123AE">
            <w:pPr>
              <w:jc w:val="center"/>
              <w:rPr>
                <w:b/>
                <w:sz w:val="22"/>
                <w:szCs w:val="22"/>
              </w:rPr>
            </w:pPr>
            <w:r w:rsidRPr="00C84312">
              <w:rPr>
                <w:b/>
                <w:sz w:val="22"/>
                <w:szCs w:val="22"/>
              </w:rPr>
              <w:t>Total:</w:t>
            </w:r>
          </w:p>
        </w:tc>
        <w:tc>
          <w:tcPr>
            <w:tcW w:w="1170" w:type="dxa"/>
            <w:vAlign w:val="center"/>
          </w:tcPr>
          <w:p w:rsidR="00A123AE" w:rsidRPr="00C84312" w:rsidRDefault="00A123AE" w:rsidP="00A123AE">
            <w:pPr>
              <w:jc w:val="center"/>
              <w:rPr>
                <w:b/>
                <w:sz w:val="22"/>
                <w:szCs w:val="22"/>
              </w:rPr>
            </w:pPr>
            <w:r w:rsidRPr="00C84312">
              <w:rPr>
                <w:b/>
                <w:sz w:val="22"/>
                <w:szCs w:val="22"/>
              </w:rPr>
              <w:t>271</w:t>
            </w:r>
          </w:p>
        </w:tc>
        <w:tc>
          <w:tcPr>
            <w:tcW w:w="2280" w:type="dxa"/>
            <w:vAlign w:val="center"/>
          </w:tcPr>
          <w:p w:rsidR="00A123AE" w:rsidRPr="00C84312" w:rsidRDefault="00A123AE" w:rsidP="00A123AE">
            <w:pPr>
              <w:jc w:val="center"/>
              <w:rPr>
                <w:sz w:val="22"/>
                <w:szCs w:val="22"/>
              </w:rPr>
            </w:pPr>
          </w:p>
        </w:tc>
        <w:tc>
          <w:tcPr>
            <w:tcW w:w="1559" w:type="dxa"/>
            <w:vAlign w:val="center"/>
          </w:tcPr>
          <w:p w:rsidR="00A123AE" w:rsidRPr="00C84312" w:rsidRDefault="00A123AE" w:rsidP="00A123AE">
            <w:pPr>
              <w:jc w:val="center"/>
              <w:rPr>
                <w:sz w:val="22"/>
                <w:szCs w:val="22"/>
              </w:rPr>
            </w:pPr>
          </w:p>
        </w:tc>
        <w:tc>
          <w:tcPr>
            <w:tcW w:w="1418" w:type="dxa"/>
            <w:vAlign w:val="center"/>
          </w:tcPr>
          <w:p w:rsidR="00A123AE" w:rsidRPr="00C84312" w:rsidRDefault="00A123AE" w:rsidP="00A123AE">
            <w:pPr>
              <w:jc w:val="center"/>
              <w:rPr>
                <w:sz w:val="22"/>
                <w:szCs w:val="22"/>
              </w:rPr>
            </w:pPr>
          </w:p>
        </w:tc>
        <w:tc>
          <w:tcPr>
            <w:tcW w:w="1522" w:type="dxa"/>
            <w:vAlign w:val="center"/>
          </w:tcPr>
          <w:p w:rsidR="00A123AE" w:rsidRPr="00C84312" w:rsidRDefault="00A123AE" w:rsidP="00A123AE">
            <w:pPr>
              <w:jc w:val="center"/>
              <w:rPr>
                <w:sz w:val="22"/>
                <w:szCs w:val="22"/>
              </w:rPr>
            </w:pPr>
          </w:p>
        </w:tc>
      </w:tr>
    </w:tbl>
    <w:p w:rsidR="000D3D8F" w:rsidRPr="00C84312" w:rsidRDefault="000D3D8F" w:rsidP="00AD14B0">
      <w:pPr>
        <w:jc w:val="both"/>
        <w:rPr>
          <w:rFonts w:ascii="Times New Roman" w:hAnsi="Times New Roman" w:cs="Times New Roman"/>
        </w:rPr>
      </w:pPr>
    </w:p>
    <w:p w:rsidR="000D3D8F" w:rsidRPr="00C84312" w:rsidRDefault="000D3D8F" w:rsidP="00AD14B0">
      <w:pPr>
        <w:jc w:val="both"/>
        <w:rPr>
          <w:rFonts w:ascii="Times New Roman" w:hAnsi="Times New Roman" w:cs="Times New Roman"/>
        </w:rPr>
      </w:pPr>
    </w:p>
    <w:p w:rsidR="000D3D8F" w:rsidRPr="00C84312" w:rsidRDefault="000D3D8F" w:rsidP="00AD14B0">
      <w:pPr>
        <w:jc w:val="both"/>
        <w:rPr>
          <w:rFonts w:ascii="Times New Roman" w:hAnsi="Times New Roman" w:cs="Times New Roman"/>
        </w:rPr>
      </w:pPr>
    </w:p>
    <w:p w:rsidR="00A123AE" w:rsidRPr="00C84312" w:rsidRDefault="00A123AE" w:rsidP="00AD14B0">
      <w:pPr>
        <w:jc w:val="both"/>
        <w:rPr>
          <w:rFonts w:ascii="Times New Roman" w:hAnsi="Times New Roman" w:cs="Times New Roman"/>
        </w:rPr>
      </w:pPr>
      <w:r w:rsidRPr="00C84312">
        <w:rPr>
          <w:rFonts w:ascii="Times New Roman" w:hAnsi="Times New Roman" w:cs="Times New Roman"/>
        </w:rPr>
        <w:t xml:space="preserve">Some general information regarding the sections that participated in the study </w:t>
      </w:r>
      <w:r w:rsidR="00583F2A">
        <w:rPr>
          <w:rFonts w:ascii="Times New Roman" w:hAnsi="Times New Roman" w:cs="Times New Roman"/>
        </w:rPr>
        <w:t>is</w:t>
      </w:r>
      <w:r w:rsidRPr="00C84312">
        <w:rPr>
          <w:rFonts w:ascii="Times New Roman" w:hAnsi="Times New Roman" w:cs="Times New Roman"/>
        </w:rPr>
        <w:t xml:space="preserve"> summarized in the following table:</w:t>
      </w:r>
    </w:p>
    <w:p w:rsidR="00A123AE" w:rsidRPr="00C84312" w:rsidRDefault="00A123AE" w:rsidP="00AD14B0">
      <w:pPr>
        <w:jc w:val="both"/>
        <w:rPr>
          <w:rFonts w:ascii="Times New Roman" w:hAnsi="Times New Roman" w:cs="Times New Roman"/>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14"/>
        <w:gridCol w:w="1514"/>
        <w:gridCol w:w="1551"/>
        <w:gridCol w:w="1363"/>
        <w:gridCol w:w="1551"/>
        <w:gridCol w:w="1363"/>
      </w:tblGrid>
      <w:tr w:rsidR="008937EE" w:rsidRPr="00C84312" w:rsidTr="00B8717C">
        <w:tc>
          <w:tcPr>
            <w:tcW w:w="1514" w:type="dxa"/>
            <w:vAlign w:val="center"/>
          </w:tcPr>
          <w:p w:rsidR="008937EE" w:rsidRPr="00C84312" w:rsidRDefault="008937EE" w:rsidP="008937EE">
            <w:pPr>
              <w:jc w:val="center"/>
              <w:rPr>
                <w:b/>
                <w:sz w:val="24"/>
                <w:szCs w:val="24"/>
              </w:rPr>
            </w:pPr>
            <w:r w:rsidRPr="00C84312">
              <w:rPr>
                <w:b/>
                <w:sz w:val="24"/>
                <w:szCs w:val="24"/>
              </w:rPr>
              <w:t>% Taught by Full-Time Faculty</w:t>
            </w:r>
          </w:p>
        </w:tc>
        <w:tc>
          <w:tcPr>
            <w:tcW w:w="1514" w:type="dxa"/>
            <w:vAlign w:val="center"/>
          </w:tcPr>
          <w:p w:rsidR="008937EE" w:rsidRPr="00C84312" w:rsidRDefault="008937EE" w:rsidP="008937EE">
            <w:pPr>
              <w:jc w:val="center"/>
              <w:rPr>
                <w:b/>
                <w:sz w:val="24"/>
                <w:szCs w:val="24"/>
              </w:rPr>
            </w:pPr>
            <w:r w:rsidRPr="00C84312">
              <w:rPr>
                <w:b/>
                <w:sz w:val="24"/>
                <w:szCs w:val="24"/>
              </w:rPr>
              <w:t>% Taught by Part-Time Faculty</w:t>
            </w:r>
          </w:p>
        </w:tc>
        <w:tc>
          <w:tcPr>
            <w:tcW w:w="1551" w:type="dxa"/>
            <w:vAlign w:val="center"/>
          </w:tcPr>
          <w:p w:rsidR="008937EE" w:rsidRPr="00C84312" w:rsidRDefault="008937EE" w:rsidP="008937EE">
            <w:pPr>
              <w:jc w:val="center"/>
              <w:rPr>
                <w:b/>
                <w:sz w:val="24"/>
                <w:szCs w:val="24"/>
              </w:rPr>
            </w:pPr>
            <w:r w:rsidRPr="00C84312">
              <w:rPr>
                <w:b/>
                <w:sz w:val="24"/>
                <w:szCs w:val="24"/>
              </w:rPr>
              <w:t>% of Day Students</w:t>
            </w:r>
          </w:p>
        </w:tc>
        <w:tc>
          <w:tcPr>
            <w:tcW w:w="1363" w:type="dxa"/>
            <w:vAlign w:val="center"/>
          </w:tcPr>
          <w:p w:rsidR="008937EE" w:rsidRPr="00C84312" w:rsidRDefault="008937EE" w:rsidP="008937EE">
            <w:pPr>
              <w:jc w:val="center"/>
              <w:rPr>
                <w:b/>
                <w:sz w:val="24"/>
                <w:szCs w:val="24"/>
              </w:rPr>
            </w:pPr>
            <w:r w:rsidRPr="00C84312">
              <w:rPr>
                <w:b/>
                <w:sz w:val="24"/>
                <w:szCs w:val="24"/>
              </w:rPr>
              <w:t>% of Evening Students</w:t>
            </w:r>
          </w:p>
        </w:tc>
        <w:tc>
          <w:tcPr>
            <w:tcW w:w="1551" w:type="dxa"/>
            <w:vAlign w:val="center"/>
          </w:tcPr>
          <w:p w:rsidR="008937EE" w:rsidRPr="00C84312" w:rsidRDefault="008937EE" w:rsidP="008937EE">
            <w:pPr>
              <w:jc w:val="center"/>
              <w:rPr>
                <w:b/>
                <w:sz w:val="24"/>
                <w:szCs w:val="24"/>
              </w:rPr>
            </w:pPr>
            <w:r w:rsidRPr="00C84312">
              <w:rPr>
                <w:b/>
                <w:sz w:val="24"/>
                <w:szCs w:val="24"/>
              </w:rPr>
              <w:t>% of Main Campus Students</w:t>
            </w:r>
          </w:p>
        </w:tc>
        <w:tc>
          <w:tcPr>
            <w:tcW w:w="1363" w:type="dxa"/>
            <w:vAlign w:val="center"/>
          </w:tcPr>
          <w:p w:rsidR="008937EE" w:rsidRPr="00C84312" w:rsidRDefault="008937EE" w:rsidP="008937EE">
            <w:pPr>
              <w:jc w:val="center"/>
              <w:rPr>
                <w:b/>
                <w:sz w:val="24"/>
                <w:szCs w:val="24"/>
              </w:rPr>
            </w:pPr>
            <w:r w:rsidRPr="00C84312">
              <w:rPr>
                <w:b/>
                <w:sz w:val="24"/>
                <w:szCs w:val="24"/>
              </w:rPr>
              <w:t>% of West Essex Campus Students</w:t>
            </w:r>
          </w:p>
        </w:tc>
      </w:tr>
      <w:tr w:rsidR="008937EE" w:rsidRPr="00C84312" w:rsidTr="00B8717C">
        <w:trPr>
          <w:trHeight w:val="845"/>
        </w:trPr>
        <w:tc>
          <w:tcPr>
            <w:tcW w:w="1514" w:type="dxa"/>
            <w:vAlign w:val="center"/>
          </w:tcPr>
          <w:p w:rsidR="008937EE" w:rsidRPr="00C84312" w:rsidRDefault="008937EE" w:rsidP="008937EE">
            <w:pPr>
              <w:jc w:val="center"/>
              <w:rPr>
                <w:sz w:val="24"/>
                <w:szCs w:val="24"/>
              </w:rPr>
            </w:pPr>
            <w:r w:rsidRPr="00C84312">
              <w:rPr>
                <w:sz w:val="24"/>
                <w:szCs w:val="24"/>
              </w:rPr>
              <w:t>18%</w:t>
            </w:r>
          </w:p>
        </w:tc>
        <w:tc>
          <w:tcPr>
            <w:tcW w:w="1514" w:type="dxa"/>
            <w:vAlign w:val="center"/>
          </w:tcPr>
          <w:p w:rsidR="008937EE" w:rsidRPr="00C84312" w:rsidRDefault="008937EE" w:rsidP="008937EE">
            <w:pPr>
              <w:jc w:val="center"/>
              <w:rPr>
                <w:sz w:val="24"/>
                <w:szCs w:val="24"/>
              </w:rPr>
            </w:pPr>
            <w:r w:rsidRPr="00C84312">
              <w:rPr>
                <w:sz w:val="24"/>
                <w:szCs w:val="24"/>
              </w:rPr>
              <w:t>82%</w:t>
            </w:r>
          </w:p>
        </w:tc>
        <w:tc>
          <w:tcPr>
            <w:tcW w:w="1551" w:type="dxa"/>
            <w:vAlign w:val="center"/>
          </w:tcPr>
          <w:p w:rsidR="008937EE" w:rsidRPr="00C84312" w:rsidRDefault="008937EE" w:rsidP="008937EE">
            <w:pPr>
              <w:jc w:val="center"/>
              <w:rPr>
                <w:sz w:val="24"/>
                <w:szCs w:val="24"/>
              </w:rPr>
            </w:pPr>
            <w:r w:rsidRPr="00C84312">
              <w:rPr>
                <w:sz w:val="24"/>
                <w:szCs w:val="24"/>
              </w:rPr>
              <w:t>92%</w:t>
            </w:r>
          </w:p>
        </w:tc>
        <w:tc>
          <w:tcPr>
            <w:tcW w:w="1363" w:type="dxa"/>
            <w:vAlign w:val="center"/>
          </w:tcPr>
          <w:p w:rsidR="008937EE" w:rsidRPr="00C84312" w:rsidRDefault="008937EE" w:rsidP="008937EE">
            <w:pPr>
              <w:jc w:val="center"/>
              <w:rPr>
                <w:sz w:val="24"/>
                <w:szCs w:val="24"/>
              </w:rPr>
            </w:pPr>
            <w:r w:rsidRPr="00C84312">
              <w:rPr>
                <w:sz w:val="24"/>
                <w:szCs w:val="24"/>
              </w:rPr>
              <w:t>8%</w:t>
            </w:r>
          </w:p>
        </w:tc>
        <w:tc>
          <w:tcPr>
            <w:tcW w:w="1551" w:type="dxa"/>
            <w:vAlign w:val="center"/>
          </w:tcPr>
          <w:p w:rsidR="008937EE" w:rsidRPr="00C84312" w:rsidRDefault="008937EE" w:rsidP="008937EE">
            <w:pPr>
              <w:jc w:val="center"/>
              <w:rPr>
                <w:sz w:val="24"/>
                <w:szCs w:val="24"/>
              </w:rPr>
            </w:pPr>
            <w:r w:rsidRPr="00C84312">
              <w:rPr>
                <w:sz w:val="24"/>
                <w:szCs w:val="24"/>
              </w:rPr>
              <w:t>68%</w:t>
            </w:r>
          </w:p>
        </w:tc>
        <w:tc>
          <w:tcPr>
            <w:tcW w:w="1363" w:type="dxa"/>
            <w:vAlign w:val="center"/>
          </w:tcPr>
          <w:p w:rsidR="008937EE" w:rsidRPr="00C84312" w:rsidRDefault="008937EE" w:rsidP="008937EE">
            <w:pPr>
              <w:jc w:val="center"/>
              <w:rPr>
                <w:sz w:val="24"/>
                <w:szCs w:val="24"/>
              </w:rPr>
            </w:pPr>
            <w:r w:rsidRPr="00C84312">
              <w:rPr>
                <w:sz w:val="24"/>
                <w:szCs w:val="24"/>
              </w:rPr>
              <w:t>32%</w:t>
            </w:r>
          </w:p>
        </w:tc>
      </w:tr>
    </w:tbl>
    <w:p w:rsidR="00A123AE" w:rsidRPr="00C84312" w:rsidRDefault="00A123AE" w:rsidP="00AD14B0">
      <w:pPr>
        <w:jc w:val="both"/>
        <w:rPr>
          <w:rFonts w:ascii="Times New Roman" w:hAnsi="Times New Roman" w:cs="Times New Roman"/>
        </w:rPr>
      </w:pPr>
    </w:p>
    <w:p w:rsidR="008937EE" w:rsidRPr="00C84312" w:rsidRDefault="008937EE" w:rsidP="00AD14B0">
      <w:pPr>
        <w:jc w:val="both"/>
        <w:rPr>
          <w:rFonts w:ascii="Times New Roman" w:hAnsi="Times New Roman" w:cs="Times New Roman"/>
        </w:rPr>
      </w:pPr>
      <w:r w:rsidRPr="00C84312">
        <w:rPr>
          <w:rFonts w:ascii="Times New Roman" w:hAnsi="Times New Roman" w:cs="Times New Roman"/>
        </w:rPr>
        <w:t>T</w:t>
      </w:r>
      <w:r w:rsidR="00583F2A">
        <w:rPr>
          <w:rFonts w:ascii="Times New Roman" w:hAnsi="Times New Roman" w:cs="Times New Roman"/>
        </w:rPr>
        <w:t>hus, t</w:t>
      </w:r>
      <w:r w:rsidRPr="00C84312">
        <w:rPr>
          <w:rFonts w:ascii="Times New Roman" w:hAnsi="Times New Roman" w:cs="Times New Roman"/>
        </w:rPr>
        <w:t>he typical student participat</w:t>
      </w:r>
      <w:r w:rsidR="00583F2A">
        <w:rPr>
          <w:rFonts w:ascii="Times New Roman" w:hAnsi="Times New Roman" w:cs="Times New Roman"/>
        </w:rPr>
        <w:t>ing</w:t>
      </w:r>
      <w:r w:rsidRPr="00C84312">
        <w:rPr>
          <w:rFonts w:ascii="Times New Roman" w:hAnsi="Times New Roman" w:cs="Times New Roman"/>
        </w:rPr>
        <w:t xml:space="preserve"> in this study is taught by an adjunct instructor at the Main Campus</w:t>
      </w:r>
      <w:r w:rsidR="00AD653E" w:rsidRPr="00C84312">
        <w:rPr>
          <w:rFonts w:ascii="Times New Roman" w:hAnsi="Times New Roman" w:cs="Times New Roman"/>
        </w:rPr>
        <w:t>,</w:t>
      </w:r>
      <w:r w:rsidRPr="00C84312">
        <w:rPr>
          <w:rFonts w:ascii="Times New Roman" w:hAnsi="Times New Roman" w:cs="Times New Roman"/>
        </w:rPr>
        <w:t xml:space="preserve"> during the day</w:t>
      </w:r>
      <w:r w:rsidR="00AD653E" w:rsidRPr="00C84312">
        <w:rPr>
          <w:rFonts w:ascii="Times New Roman" w:hAnsi="Times New Roman" w:cs="Times New Roman"/>
        </w:rPr>
        <w:t>.</w:t>
      </w:r>
      <w:r w:rsidR="008B4534" w:rsidRPr="00C84312">
        <w:rPr>
          <w:rFonts w:ascii="Times New Roman" w:hAnsi="Times New Roman" w:cs="Times New Roman"/>
        </w:rPr>
        <w:t xml:space="preserve"> </w:t>
      </w:r>
    </w:p>
    <w:p w:rsidR="008B4534" w:rsidRPr="00C84312" w:rsidRDefault="008B4534" w:rsidP="00AD14B0">
      <w:pPr>
        <w:jc w:val="both"/>
        <w:rPr>
          <w:rFonts w:ascii="Times New Roman" w:hAnsi="Times New Roman" w:cs="Times New Roman"/>
        </w:rPr>
      </w:pPr>
    </w:p>
    <w:p w:rsidR="00AD653E" w:rsidRPr="00C84312" w:rsidRDefault="00AD653E" w:rsidP="00AD14B0">
      <w:pPr>
        <w:jc w:val="both"/>
        <w:rPr>
          <w:rFonts w:ascii="Times New Roman" w:hAnsi="Times New Roman" w:cs="Times New Roman"/>
        </w:rPr>
      </w:pPr>
    </w:p>
    <w:p w:rsidR="00F97DD4" w:rsidRPr="00C84312" w:rsidRDefault="00F97DD4" w:rsidP="00F97DD4">
      <w:pPr>
        <w:pStyle w:val="Heading2"/>
        <w:rPr>
          <w:rFonts w:ascii="Times New Roman" w:hAnsi="Times New Roman" w:cs="Times New Roman"/>
          <w:sz w:val="24"/>
          <w:szCs w:val="24"/>
        </w:rPr>
      </w:pPr>
      <w:r w:rsidRPr="00C84312">
        <w:rPr>
          <w:rFonts w:ascii="Times New Roman" w:hAnsi="Times New Roman" w:cs="Times New Roman"/>
          <w:sz w:val="24"/>
          <w:szCs w:val="24"/>
        </w:rPr>
        <w:t>MPO Results</w:t>
      </w:r>
    </w:p>
    <w:p w:rsidR="000D3D8F" w:rsidRPr="00C84312" w:rsidRDefault="000D3D8F" w:rsidP="00AD14B0">
      <w:pPr>
        <w:jc w:val="both"/>
        <w:rPr>
          <w:rFonts w:ascii="Times New Roman" w:hAnsi="Times New Roman" w:cs="Times New Roman"/>
        </w:rPr>
      </w:pPr>
    </w:p>
    <w:p w:rsidR="008B4534" w:rsidRPr="00C84312" w:rsidRDefault="008B4534" w:rsidP="00AD14B0">
      <w:pPr>
        <w:jc w:val="both"/>
        <w:rPr>
          <w:rFonts w:ascii="Times New Roman" w:hAnsi="Times New Roman" w:cs="Times New Roman"/>
        </w:rPr>
      </w:pPr>
      <w:r w:rsidRPr="00C84312">
        <w:rPr>
          <w:rFonts w:ascii="Times New Roman" w:hAnsi="Times New Roman" w:cs="Times New Roman"/>
        </w:rPr>
        <w:t>MPO results were generated from student performance on the multiple-choice sect</w:t>
      </w:r>
      <w:r w:rsidR="004E7929" w:rsidRPr="00C84312">
        <w:rPr>
          <w:rFonts w:ascii="Times New Roman" w:hAnsi="Times New Roman" w:cs="Times New Roman"/>
        </w:rPr>
        <w:t>ion of the final exam.   Each</w:t>
      </w:r>
      <w:r w:rsidR="00176078" w:rsidRPr="00C84312">
        <w:rPr>
          <w:rFonts w:ascii="Times New Roman" w:hAnsi="Times New Roman" w:cs="Times New Roman"/>
        </w:rPr>
        <w:t xml:space="preserve"> </w:t>
      </w:r>
      <w:r w:rsidR="004E7929" w:rsidRPr="00C84312">
        <w:rPr>
          <w:rFonts w:ascii="Times New Roman" w:hAnsi="Times New Roman" w:cs="Times New Roman"/>
        </w:rPr>
        <w:t>multiple-choice question</w:t>
      </w:r>
      <w:r w:rsidR="00176078" w:rsidRPr="00C84312">
        <w:rPr>
          <w:rFonts w:ascii="Times New Roman" w:hAnsi="Times New Roman" w:cs="Times New Roman"/>
        </w:rPr>
        <w:t xml:space="preserve"> on the final exam</w:t>
      </w:r>
      <w:r w:rsidR="00BE1625" w:rsidRPr="00C84312">
        <w:rPr>
          <w:rFonts w:ascii="Times New Roman" w:hAnsi="Times New Roman" w:cs="Times New Roman"/>
        </w:rPr>
        <w:t xml:space="preserve"> was</w:t>
      </w:r>
      <w:r w:rsidRPr="00C84312">
        <w:rPr>
          <w:rFonts w:ascii="Times New Roman" w:hAnsi="Times New Roman" w:cs="Times New Roman"/>
        </w:rPr>
        <w:t xml:space="preserve"> blueprinted to an MPO listed previously in this report.  </w:t>
      </w:r>
      <w:r w:rsidR="00847AB6" w:rsidRPr="00C84312">
        <w:rPr>
          <w:rFonts w:ascii="Times New Roman" w:hAnsi="Times New Roman" w:cs="Times New Roman"/>
        </w:rPr>
        <w:t>A total of 171 st</w:t>
      </w:r>
      <w:r w:rsidR="00176078" w:rsidRPr="00C84312">
        <w:rPr>
          <w:rFonts w:ascii="Times New Roman" w:hAnsi="Times New Roman" w:cs="Times New Roman"/>
        </w:rPr>
        <w:t>udents took the final exam, that is</w:t>
      </w:r>
      <w:r w:rsidR="00847AB6" w:rsidRPr="00C84312">
        <w:rPr>
          <w:rFonts w:ascii="Times New Roman" w:hAnsi="Times New Roman" w:cs="Times New Roman"/>
        </w:rPr>
        <w:t>, 63% of the original sample.  A total</w:t>
      </w:r>
      <w:r w:rsidR="00BB2853" w:rsidRPr="00C84312">
        <w:rPr>
          <w:rFonts w:ascii="Times New Roman" w:hAnsi="Times New Roman" w:cs="Times New Roman"/>
        </w:rPr>
        <w:t xml:space="preserve"> of 100 students or 37%</w:t>
      </w:r>
      <w:r w:rsidR="004E7929" w:rsidRPr="00C84312">
        <w:rPr>
          <w:rFonts w:ascii="Times New Roman" w:hAnsi="Times New Roman" w:cs="Times New Roman"/>
        </w:rPr>
        <w:t xml:space="preserve"> w</w:t>
      </w:r>
      <w:r w:rsidR="00847AB6" w:rsidRPr="00C84312">
        <w:rPr>
          <w:rFonts w:ascii="Times New Roman" w:hAnsi="Times New Roman" w:cs="Times New Roman"/>
        </w:rPr>
        <w:t>ithdrew</w:t>
      </w:r>
      <w:r w:rsidR="004E7929" w:rsidRPr="00C84312">
        <w:rPr>
          <w:rFonts w:ascii="Times New Roman" w:hAnsi="Times New Roman" w:cs="Times New Roman"/>
        </w:rPr>
        <w:t>, received a grade of Incomplete</w:t>
      </w:r>
      <w:r w:rsidR="0085586E">
        <w:rPr>
          <w:rFonts w:ascii="Times New Roman" w:hAnsi="Times New Roman" w:cs="Times New Roman"/>
        </w:rPr>
        <w:t>,</w:t>
      </w:r>
      <w:r w:rsidR="00847AB6" w:rsidRPr="00C84312">
        <w:rPr>
          <w:rFonts w:ascii="Times New Roman" w:hAnsi="Times New Roman" w:cs="Times New Roman"/>
        </w:rPr>
        <w:t xml:space="preserve"> or stopped attending.  The instructors were asked to count the number of students that answered each multiple choice correctly.  </w:t>
      </w:r>
      <w:r w:rsidR="00BE1625" w:rsidRPr="00C84312">
        <w:rPr>
          <w:rFonts w:ascii="Times New Roman" w:hAnsi="Times New Roman" w:cs="Times New Roman"/>
        </w:rPr>
        <w:t xml:space="preserve">Those results were submitted through an online survey, </w:t>
      </w:r>
      <w:r w:rsidR="0085586E">
        <w:rPr>
          <w:rFonts w:ascii="Times New Roman" w:hAnsi="Times New Roman" w:cs="Times New Roman"/>
        </w:rPr>
        <w:t>which also requested</w:t>
      </w:r>
      <w:r w:rsidR="00BE1625" w:rsidRPr="00C84312">
        <w:rPr>
          <w:rFonts w:ascii="Times New Roman" w:hAnsi="Times New Roman" w:cs="Times New Roman"/>
        </w:rPr>
        <w:t xml:space="preserve"> answers to other questions needed for this study.  </w:t>
      </w:r>
      <w:r w:rsidR="00F32463" w:rsidRPr="00C84312">
        <w:rPr>
          <w:rFonts w:ascii="Times New Roman" w:hAnsi="Times New Roman" w:cs="Times New Roman"/>
        </w:rPr>
        <w:t>An MPO is</w:t>
      </w:r>
      <w:r w:rsidR="004A4043" w:rsidRPr="00C84312">
        <w:rPr>
          <w:rFonts w:ascii="Times New Roman" w:hAnsi="Times New Roman" w:cs="Times New Roman"/>
        </w:rPr>
        <w:t xml:space="preserve"> </w:t>
      </w:r>
      <w:r w:rsidR="0085586E">
        <w:rPr>
          <w:rFonts w:ascii="Times New Roman" w:hAnsi="Times New Roman" w:cs="Times New Roman"/>
        </w:rPr>
        <w:t>considered ‘</w:t>
      </w:r>
      <w:r w:rsidR="004A4043" w:rsidRPr="00C84312">
        <w:rPr>
          <w:rFonts w:ascii="Times New Roman" w:hAnsi="Times New Roman" w:cs="Times New Roman"/>
        </w:rPr>
        <w:t>achieved</w:t>
      </w:r>
      <w:r w:rsidR="0085586E">
        <w:rPr>
          <w:rFonts w:ascii="Times New Roman" w:hAnsi="Times New Roman" w:cs="Times New Roman"/>
        </w:rPr>
        <w:t>’</w:t>
      </w:r>
      <w:r w:rsidR="004A4043" w:rsidRPr="00C84312">
        <w:rPr>
          <w:rFonts w:ascii="Times New Roman" w:hAnsi="Times New Roman" w:cs="Times New Roman"/>
        </w:rPr>
        <w:t xml:space="preserve"> </w:t>
      </w:r>
      <w:r w:rsidR="0085586E">
        <w:rPr>
          <w:rFonts w:ascii="Times New Roman" w:hAnsi="Times New Roman" w:cs="Times New Roman"/>
        </w:rPr>
        <w:t xml:space="preserve">in this study </w:t>
      </w:r>
      <w:r w:rsidR="004A4043" w:rsidRPr="00C84312">
        <w:rPr>
          <w:rFonts w:ascii="Times New Roman" w:hAnsi="Times New Roman" w:cs="Times New Roman"/>
        </w:rPr>
        <w:t xml:space="preserve">if 70% or more of the students </w:t>
      </w:r>
      <w:r w:rsidR="00F32463" w:rsidRPr="00C84312">
        <w:rPr>
          <w:rFonts w:ascii="Times New Roman" w:hAnsi="Times New Roman" w:cs="Times New Roman"/>
        </w:rPr>
        <w:t xml:space="preserve">answered the question successfully.  </w:t>
      </w:r>
      <w:r w:rsidR="004A4043" w:rsidRPr="00C84312">
        <w:rPr>
          <w:rFonts w:ascii="Times New Roman" w:hAnsi="Times New Roman" w:cs="Times New Roman"/>
        </w:rPr>
        <w:t xml:space="preserve">All 9 of </w:t>
      </w:r>
      <w:r w:rsidR="00F32463" w:rsidRPr="00C84312">
        <w:rPr>
          <w:rFonts w:ascii="Times New Roman" w:hAnsi="Times New Roman" w:cs="Times New Roman"/>
        </w:rPr>
        <w:t xml:space="preserve">the MPOs analyzed were achieved </w:t>
      </w:r>
      <w:r w:rsidR="004E7929" w:rsidRPr="00C84312">
        <w:rPr>
          <w:rFonts w:ascii="Times New Roman" w:hAnsi="Times New Roman" w:cs="Times New Roman"/>
        </w:rPr>
        <w:t xml:space="preserve">comfortably </w:t>
      </w:r>
      <w:r w:rsidR="00F32463" w:rsidRPr="00C84312">
        <w:rPr>
          <w:rFonts w:ascii="Times New Roman" w:hAnsi="Times New Roman" w:cs="Times New Roman"/>
        </w:rPr>
        <w:t xml:space="preserve">as </w:t>
      </w:r>
      <w:r w:rsidR="0085586E">
        <w:rPr>
          <w:rFonts w:ascii="Times New Roman" w:hAnsi="Times New Roman" w:cs="Times New Roman"/>
        </w:rPr>
        <w:t>summarized in the table below.</w:t>
      </w:r>
    </w:p>
    <w:p w:rsidR="00F32463" w:rsidRPr="00C84312" w:rsidRDefault="00F32463" w:rsidP="00AD14B0">
      <w:pPr>
        <w:jc w:val="both"/>
        <w:rPr>
          <w:rFonts w:ascii="Times New Roman" w:hAnsi="Times New Roman" w:cs="Times New Roman"/>
        </w:rPr>
      </w:pPr>
    </w:p>
    <w:p w:rsidR="00F32463" w:rsidRPr="00C84312" w:rsidRDefault="00F32463" w:rsidP="00AD14B0">
      <w:pPr>
        <w:jc w:val="both"/>
        <w:rPr>
          <w:rFonts w:ascii="Times New Roman" w:hAnsi="Times New Roman" w:cs="Times New Roman"/>
        </w:rPr>
      </w:pPr>
    </w:p>
    <w:tbl>
      <w:tblPr>
        <w:tblStyle w:val="TableGrid"/>
        <w:tblW w:w="0" w:type="auto"/>
        <w:tblLook w:val="04A0"/>
      </w:tblPr>
      <w:tblGrid>
        <w:gridCol w:w="7128"/>
        <w:gridCol w:w="1728"/>
      </w:tblGrid>
      <w:tr w:rsidR="00F32463" w:rsidRPr="00C84312" w:rsidTr="0085586E">
        <w:trPr>
          <w:trHeight w:val="397"/>
        </w:trPr>
        <w:tc>
          <w:tcPr>
            <w:tcW w:w="7128" w:type="dxa"/>
            <w:vAlign w:val="center"/>
          </w:tcPr>
          <w:p w:rsidR="00F32463" w:rsidRPr="00C84312" w:rsidRDefault="00F32463" w:rsidP="0085586E">
            <w:pPr>
              <w:jc w:val="center"/>
              <w:rPr>
                <w:sz w:val="24"/>
                <w:szCs w:val="24"/>
              </w:rPr>
            </w:pPr>
            <w:r w:rsidRPr="00C84312">
              <w:rPr>
                <w:b/>
                <w:bCs/>
                <w:color w:val="000000"/>
                <w:sz w:val="24"/>
                <w:szCs w:val="24"/>
              </w:rPr>
              <w:t>MPO</w:t>
            </w:r>
          </w:p>
        </w:tc>
        <w:tc>
          <w:tcPr>
            <w:tcW w:w="1728" w:type="dxa"/>
            <w:vAlign w:val="center"/>
          </w:tcPr>
          <w:p w:rsidR="00F32463" w:rsidRPr="00C84312" w:rsidRDefault="00F32463" w:rsidP="0085586E">
            <w:pPr>
              <w:jc w:val="center"/>
              <w:rPr>
                <w:sz w:val="24"/>
                <w:szCs w:val="24"/>
              </w:rPr>
            </w:pPr>
            <w:r w:rsidRPr="00C84312">
              <w:rPr>
                <w:b/>
                <w:bCs/>
                <w:color w:val="000000"/>
                <w:sz w:val="24"/>
                <w:szCs w:val="24"/>
              </w:rPr>
              <w:t>% Achieved</w:t>
            </w:r>
          </w:p>
        </w:tc>
      </w:tr>
      <w:tr w:rsidR="00F32463" w:rsidRPr="00C84312" w:rsidTr="0085586E">
        <w:trPr>
          <w:trHeight w:val="397"/>
        </w:trPr>
        <w:tc>
          <w:tcPr>
            <w:tcW w:w="7128" w:type="dxa"/>
            <w:vAlign w:val="center"/>
          </w:tcPr>
          <w:p w:rsidR="00F32463" w:rsidRPr="00C84312" w:rsidRDefault="00F32463" w:rsidP="0085586E">
            <w:pPr>
              <w:rPr>
                <w:sz w:val="24"/>
                <w:szCs w:val="24"/>
              </w:rPr>
            </w:pPr>
            <w:r w:rsidRPr="0085586E">
              <w:rPr>
                <w:iCs/>
                <w:color w:val="000000"/>
                <w:sz w:val="24"/>
                <w:szCs w:val="24"/>
              </w:rPr>
              <w:t>1.1</w:t>
            </w:r>
            <w:r w:rsidRPr="00C84312">
              <w:rPr>
                <w:i/>
                <w:iCs/>
                <w:color w:val="000000"/>
                <w:sz w:val="24"/>
                <w:szCs w:val="24"/>
              </w:rPr>
              <w:t xml:space="preserve">  perform arithmetic operations on signed numbers</w:t>
            </w:r>
          </w:p>
        </w:tc>
        <w:tc>
          <w:tcPr>
            <w:tcW w:w="1728" w:type="dxa"/>
            <w:vAlign w:val="center"/>
          </w:tcPr>
          <w:p w:rsidR="00F32463" w:rsidRPr="00C84312" w:rsidRDefault="00F32463" w:rsidP="0085586E">
            <w:pPr>
              <w:jc w:val="center"/>
              <w:rPr>
                <w:sz w:val="24"/>
                <w:szCs w:val="24"/>
              </w:rPr>
            </w:pPr>
            <w:r w:rsidRPr="00C84312">
              <w:rPr>
                <w:color w:val="000000"/>
                <w:sz w:val="24"/>
                <w:szCs w:val="24"/>
              </w:rPr>
              <w:t>90.1%</w:t>
            </w:r>
          </w:p>
        </w:tc>
      </w:tr>
      <w:tr w:rsidR="00F32463" w:rsidRPr="00C84312" w:rsidTr="0085586E">
        <w:trPr>
          <w:trHeight w:val="397"/>
        </w:trPr>
        <w:tc>
          <w:tcPr>
            <w:tcW w:w="7128" w:type="dxa"/>
            <w:vAlign w:val="center"/>
          </w:tcPr>
          <w:p w:rsidR="00F32463" w:rsidRPr="00C84312" w:rsidRDefault="00F32463" w:rsidP="0085586E">
            <w:pPr>
              <w:rPr>
                <w:i/>
                <w:iCs/>
                <w:color w:val="000000"/>
                <w:sz w:val="24"/>
                <w:szCs w:val="24"/>
              </w:rPr>
            </w:pPr>
            <w:r w:rsidRPr="0085586E">
              <w:rPr>
                <w:iCs/>
                <w:color w:val="000000"/>
                <w:sz w:val="24"/>
                <w:szCs w:val="24"/>
              </w:rPr>
              <w:t>1.2</w:t>
            </w:r>
            <w:r w:rsidRPr="00C84312">
              <w:rPr>
                <w:i/>
                <w:iCs/>
                <w:color w:val="000000"/>
                <w:sz w:val="24"/>
                <w:szCs w:val="24"/>
              </w:rPr>
              <w:t xml:space="preserve">  perform arithmetic operations on fractions</w:t>
            </w:r>
          </w:p>
        </w:tc>
        <w:tc>
          <w:tcPr>
            <w:tcW w:w="1728" w:type="dxa"/>
            <w:vAlign w:val="center"/>
          </w:tcPr>
          <w:p w:rsidR="00F32463" w:rsidRPr="00C84312" w:rsidRDefault="00F32463" w:rsidP="0085586E">
            <w:pPr>
              <w:jc w:val="center"/>
              <w:rPr>
                <w:sz w:val="24"/>
                <w:szCs w:val="24"/>
              </w:rPr>
            </w:pPr>
            <w:r w:rsidRPr="00C84312">
              <w:rPr>
                <w:color w:val="000000"/>
                <w:sz w:val="24"/>
                <w:szCs w:val="24"/>
              </w:rPr>
              <w:t>79.5%</w:t>
            </w:r>
          </w:p>
        </w:tc>
      </w:tr>
      <w:tr w:rsidR="00F32463" w:rsidRPr="00C84312" w:rsidTr="0085586E">
        <w:trPr>
          <w:trHeight w:val="397"/>
        </w:trPr>
        <w:tc>
          <w:tcPr>
            <w:tcW w:w="7128" w:type="dxa"/>
            <w:vAlign w:val="center"/>
          </w:tcPr>
          <w:p w:rsidR="00F32463" w:rsidRPr="00C84312" w:rsidRDefault="00F32463" w:rsidP="0085586E">
            <w:pPr>
              <w:rPr>
                <w:sz w:val="24"/>
                <w:szCs w:val="24"/>
              </w:rPr>
            </w:pPr>
            <w:r w:rsidRPr="0085586E">
              <w:rPr>
                <w:iCs/>
                <w:color w:val="000000"/>
                <w:sz w:val="24"/>
                <w:szCs w:val="24"/>
              </w:rPr>
              <w:t>1.3</w:t>
            </w:r>
            <w:r w:rsidRPr="00C84312">
              <w:rPr>
                <w:i/>
                <w:iCs/>
                <w:color w:val="000000"/>
                <w:sz w:val="24"/>
                <w:szCs w:val="24"/>
              </w:rPr>
              <w:t xml:space="preserve">  perform arithmetic operations on decimals</w:t>
            </w:r>
          </w:p>
        </w:tc>
        <w:tc>
          <w:tcPr>
            <w:tcW w:w="1728" w:type="dxa"/>
            <w:vAlign w:val="center"/>
          </w:tcPr>
          <w:p w:rsidR="00F32463" w:rsidRPr="00C84312" w:rsidRDefault="00F32463" w:rsidP="0085586E">
            <w:pPr>
              <w:jc w:val="center"/>
              <w:rPr>
                <w:sz w:val="24"/>
                <w:szCs w:val="24"/>
              </w:rPr>
            </w:pPr>
            <w:r w:rsidRPr="00C84312">
              <w:rPr>
                <w:color w:val="000000"/>
                <w:sz w:val="24"/>
                <w:szCs w:val="24"/>
              </w:rPr>
              <w:t>85.1%</w:t>
            </w:r>
          </w:p>
        </w:tc>
      </w:tr>
      <w:tr w:rsidR="00F32463" w:rsidRPr="00C84312" w:rsidTr="0085586E">
        <w:trPr>
          <w:trHeight w:val="397"/>
        </w:trPr>
        <w:tc>
          <w:tcPr>
            <w:tcW w:w="7128" w:type="dxa"/>
            <w:vAlign w:val="center"/>
          </w:tcPr>
          <w:p w:rsidR="00F32463" w:rsidRPr="00C84312" w:rsidRDefault="00F32463" w:rsidP="0085586E">
            <w:pPr>
              <w:rPr>
                <w:sz w:val="24"/>
                <w:szCs w:val="24"/>
              </w:rPr>
            </w:pPr>
            <w:r w:rsidRPr="0085586E">
              <w:rPr>
                <w:iCs/>
                <w:color w:val="000000"/>
                <w:sz w:val="24"/>
                <w:szCs w:val="24"/>
              </w:rPr>
              <w:t>1.4</w:t>
            </w:r>
            <w:r w:rsidRPr="00C84312">
              <w:rPr>
                <w:i/>
                <w:iCs/>
                <w:color w:val="000000"/>
                <w:sz w:val="24"/>
                <w:szCs w:val="24"/>
              </w:rPr>
              <w:t xml:space="preserve">  perform arithmetic operations on percents</w:t>
            </w:r>
          </w:p>
        </w:tc>
        <w:tc>
          <w:tcPr>
            <w:tcW w:w="1728" w:type="dxa"/>
            <w:vAlign w:val="center"/>
          </w:tcPr>
          <w:p w:rsidR="00F32463" w:rsidRPr="00C84312" w:rsidRDefault="00F32463" w:rsidP="0085586E">
            <w:pPr>
              <w:jc w:val="center"/>
              <w:rPr>
                <w:sz w:val="24"/>
                <w:szCs w:val="24"/>
              </w:rPr>
            </w:pPr>
            <w:r w:rsidRPr="00C84312">
              <w:rPr>
                <w:color w:val="000000"/>
                <w:sz w:val="24"/>
                <w:szCs w:val="24"/>
              </w:rPr>
              <w:t>79.8%</w:t>
            </w:r>
          </w:p>
        </w:tc>
      </w:tr>
      <w:tr w:rsidR="00F32463" w:rsidRPr="00C84312" w:rsidTr="0085586E">
        <w:trPr>
          <w:trHeight w:val="397"/>
        </w:trPr>
        <w:tc>
          <w:tcPr>
            <w:tcW w:w="7128" w:type="dxa"/>
            <w:vAlign w:val="center"/>
          </w:tcPr>
          <w:p w:rsidR="00F32463" w:rsidRPr="00C84312" w:rsidRDefault="00F32463" w:rsidP="0085586E">
            <w:pPr>
              <w:rPr>
                <w:sz w:val="24"/>
                <w:szCs w:val="24"/>
              </w:rPr>
            </w:pPr>
            <w:r w:rsidRPr="0085586E">
              <w:rPr>
                <w:iCs/>
                <w:color w:val="000000"/>
                <w:sz w:val="24"/>
                <w:szCs w:val="24"/>
              </w:rPr>
              <w:t>1.5</w:t>
            </w:r>
            <w:r w:rsidRPr="00C84312">
              <w:rPr>
                <w:i/>
                <w:iCs/>
                <w:color w:val="000000"/>
                <w:sz w:val="24"/>
                <w:szCs w:val="24"/>
              </w:rPr>
              <w:t xml:space="preserve">  determine the perimeter and area for simple geometric figures</w:t>
            </w:r>
          </w:p>
        </w:tc>
        <w:tc>
          <w:tcPr>
            <w:tcW w:w="1728" w:type="dxa"/>
            <w:vAlign w:val="center"/>
          </w:tcPr>
          <w:p w:rsidR="00F32463" w:rsidRPr="00C84312" w:rsidRDefault="00F97DD4" w:rsidP="0085586E">
            <w:pPr>
              <w:jc w:val="center"/>
              <w:rPr>
                <w:sz w:val="24"/>
                <w:szCs w:val="24"/>
              </w:rPr>
            </w:pPr>
            <w:r w:rsidRPr="00C84312">
              <w:rPr>
                <w:color w:val="000000"/>
                <w:sz w:val="24"/>
                <w:szCs w:val="24"/>
              </w:rPr>
              <w:t>91.2%</w:t>
            </w:r>
          </w:p>
        </w:tc>
      </w:tr>
      <w:tr w:rsidR="00F97DD4" w:rsidRPr="00C84312" w:rsidTr="0085586E">
        <w:trPr>
          <w:trHeight w:val="397"/>
        </w:trPr>
        <w:tc>
          <w:tcPr>
            <w:tcW w:w="7128" w:type="dxa"/>
            <w:vAlign w:val="center"/>
          </w:tcPr>
          <w:p w:rsidR="00F97DD4" w:rsidRPr="00C84312" w:rsidRDefault="00F97DD4" w:rsidP="0085586E">
            <w:pPr>
              <w:rPr>
                <w:i/>
                <w:iCs/>
                <w:color w:val="000000"/>
                <w:sz w:val="24"/>
                <w:szCs w:val="24"/>
              </w:rPr>
            </w:pPr>
            <w:r w:rsidRPr="0085586E">
              <w:rPr>
                <w:iCs/>
                <w:color w:val="000000"/>
                <w:sz w:val="24"/>
                <w:szCs w:val="24"/>
              </w:rPr>
              <w:t>1.6</w:t>
            </w:r>
            <w:r w:rsidRPr="00C84312">
              <w:rPr>
                <w:i/>
                <w:iCs/>
                <w:color w:val="000000"/>
                <w:sz w:val="24"/>
                <w:szCs w:val="24"/>
              </w:rPr>
              <w:t xml:space="preserve">  determine whether a ratio is a proportion</w:t>
            </w:r>
          </w:p>
        </w:tc>
        <w:tc>
          <w:tcPr>
            <w:tcW w:w="1728" w:type="dxa"/>
            <w:vAlign w:val="center"/>
          </w:tcPr>
          <w:p w:rsidR="00F97DD4" w:rsidRPr="00C84312" w:rsidRDefault="00F97DD4" w:rsidP="0085586E">
            <w:pPr>
              <w:jc w:val="center"/>
              <w:rPr>
                <w:sz w:val="24"/>
                <w:szCs w:val="24"/>
              </w:rPr>
            </w:pPr>
            <w:r w:rsidRPr="00C84312">
              <w:rPr>
                <w:color w:val="000000"/>
                <w:sz w:val="24"/>
                <w:szCs w:val="24"/>
              </w:rPr>
              <w:t>78.9%</w:t>
            </w:r>
          </w:p>
        </w:tc>
      </w:tr>
      <w:tr w:rsidR="00F97DD4" w:rsidRPr="00C84312" w:rsidTr="0085586E">
        <w:trPr>
          <w:trHeight w:val="397"/>
        </w:trPr>
        <w:tc>
          <w:tcPr>
            <w:tcW w:w="7128" w:type="dxa"/>
            <w:vAlign w:val="center"/>
          </w:tcPr>
          <w:p w:rsidR="00F97DD4" w:rsidRPr="00C84312" w:rsidRDefault="00F97DD4" w:rsidP="0085586E">
            <w:pPr>
              <w:rPr>
                <w:sz w:val="24"/>
                <w:szCs w:val="24"/>
              </w:rPr>
            </w:pPr>
            <w:r w:rsidRPr="0085586E">
              <w:rPr>
                <w:iCs/>
                <w:color w:val="000000"/>
                <w:sz w:val="24"/>
                <w:szCs w:val="24"/>
              </w:rPr>
              <w:t>1.7</w:t>
            </w:r>
            <w:r w:rsidRPr="00C84312">
              <w:rPr>
                <w:i/>
                <w:iCs/>
                <w:color w:val="000000"/>
                <w:sz w:val="24"/>
                <w:szCs w:val="24"/>
              </w:rPr>
              <w:t xml:space="preserve">  convert from one unit of measure to another</w:t>
            </w:r>
          </w:p>
        </w:tc>
        <w:tc>
          <w:tcPr>
            <w:tcW w:w="1728" w:type="dxa"/>
            <w:vAlign w:val="center"/>
          </w:tcPr>
          <w:p w:rsidR="00F97DD4" w:rsidRPr="00C84312" w:rsidRDefault="00F97DD4" w:rsidP="0085586E">
            <w:pPr>
              <w:jc w:val="center"/>
              <w:rPr>
                <w:sz w:val="24"/>
                <w:szCs w:val="24"/>
              </w:rPr>
            </w:pPr>
            <w:r w:rsidRPr="00C84312">
              <w:rPr>
                <w:color w:val="000000"/>
                <w:sz w:val="24"/>
                <w:szCs w:val="24"/>
              </w:rPr>
              <w:t>84.8%</w:t>
            </w:r>
          </w:p>
        </w:tc>
      </w:tr>
      <w:tr w:rsidR="00F97DD4" w:rsidRPr="00C84312" w:rsidTr="0085586E">
        <w:trPr>
          <w:trHeight w:val="397"/>
        </w:trPr>
        <w:tc>
          <w:tcPr>
            <w:tcW w:w="7128" w:type="dxa"/>
            <w:vAlign w:val="center"/>
          </w:tcPr>
          <w:p w:rsidR="00F97DD4" w:rsidRPr="00C84312" w:rsidRDefault="00F97DD4" w:rsidP="0085586E">
            <w:pPr>
              <w:rPr>
                <w:sz w:val="24"/>
                <w:szCs w:val="24"/>
              </w:rPr>
            </w:pPr>
            <w:r w:rsidRPr="0085586E">
              <w:rPr>
                <w:iCs/>
                <w:color w:val="000000"/>
                <w:sz w:val="24"/>
                <w:szCs w:val="24"/>
              </w:rPr>
              <w:t>1.8</w:t>
            </w:r>
            <w:r w:rsidRPr="00C84312">
              <w:rPr>
                <w:i/>
                <w:iCs/>
                <w:color w:val="000000"/>
                <w:sz w:val="24"/>
                <w:szCs w:val="24"/>
              </w:rPr>
              <w:t xml:space="preserve">  simplify basic algebraic operations</w:t>
            </w:r>
          </w:p>
        </w:tc>
        <w:tc>
          <w:tcPr>
            <w:tcW w:w="1728" w:type="dxa"/>
            <w:vAlign w:val="center"/>
          </w:tcPr>
          <w:p w:rsidR="00F97DD4" w:rsidRPr="00C84312" w:rsidRDefault="00F97DD4" w:rsidP="0085586E">
            <w:pPr>
              <w:jc w:val="center"/>
              <w:rPr>
                <w:sz w:val="24"/>
                <w:szCs w:val="24"/>
              </w:rPr>
            </w:pPr>
            <w:r w:rsidRPr="00C84312">
              <w:rPr>
                <w:color w:val="000000"/>
                <w:sz w:val="24"/>
                <w:szCs w:val="24"/>
              </w:rPr>
              <w:t>82.6%</w:t>
            </w:r>
          </w:p>
        </w:tc>
      </w:tr>
      <w:tr w:rsidR="00F97DD4" w:rsidRPr="00C84312" w:rsidTr="0085586E">
        <w:trPr>
          <w:trHeight w:val="397"/>
        </w:trPr>
        <w:tc>
          <w:tcPr>
            <w:tcW w:w="7128" w:type="dxa"/>
            <w:vAlign w:val="center"/>
          </w:tcPr>
          <w:p w:rsidR="00F97DD4" w:rsidRPr="00C84312" w:rsidRDefault="00F97DD4" w:rsidP="0085586E">
            <w:pPr>
              <w:rPr>
                <w:sz w:val="24"/>
                <w:szCs w:val="24"/>
              </w:rPr>
            </w:pPr>
            <w:r w:rsidRPr="0085586E">
              <w:rPr>
                <w:iCs/>
                <w:color w:val="000000"/>
                <w:sz w:val="24"/>
                <w:szCs w:val="24"/>
              </w:rPr>
              <w:t>1.9</w:t>
            </w:r>
            <w:r w:rsidRPr="00C84312">
              <w:rPr>
                <w:i/>
                <w:iCs/>
                <w:color w:val="000000"/>
                <w:sz w:val="24"/>
                <w:szCs w:val="24"/>
              </w:rPr>
              <w:t xml:space="preserve">  solve simple linear equations involving one operation</w:t>
            </w:r>
          </w:p>
        </w:tc>
        <w:tc>
          <w:tcPr>
            <w:tcW w:w="1728" w:type="dxa"/>
            <w:vAlign w:val="center"/>
          </w:tcPr>
          <w:p w:rsidR="00F97DD4" w:rsidRPr="00C84312" w:rsidRDefault="00F97DD4" w:rsidP="0085586E">
            <w:pPr>
              <w:jc w:val="center"/>
              <w:rPr>
                <w:sz w:val="24"/>
                <w:szCs w:val="24"/>
              </w:rPr>
            </w:pPr>
            <w:r w:rsidRPr="00C84312">
              <w:rPr>
                <w:color w:val="000000"/>
                <w:sz w:val="24"/>
                <w:szCs w:val="24"/>
              </w:rPr>
              <w:t>95.0%</w:t>
            </w:r>
          </w:p>
        </w:tc>
      </w:tr>
    </w:tbl>
    <w:p w:rsidR="008B4534" w:rsidRPr="00C84312" w:rsidRDefault="008B4534" w:rsidP="00AD14B0">
      <w:pPr>
        <w:jc w:val="both"/>
        <w:rPr>
          <w:rFonts w:ascii="Times New Roman" w:hAnsi="Times New Roman" w:cs="Times New Roman"/>
        </w:rPr>
      </w:pPr>
    </w:p>
    <w:p w:rsidR="00F97DD4" w:rsidRPr="00C84312" w:rsidRDefault="00F97DD4" w:rsidP="00AD14B0">
      <w:pPr>
        <w:jc w:val="both"/>
        <w:rPr>
          <w:rFonts w:ascii="Times New Roman" w:hAnsi="Times New Roman" w:cs="Times New Roman"/>
        </w:rPr>
      </w:pPr>
    </w:p>
    <w:p w:rsidR="000D3D8F" w:rsidRPr="00C84312" w:rsidRDefault="000D3D8F" w:rsidP="00AD14B0">
      <w:pPr>
        <w:jc w:val="both"/>
        <w:rPr>
          <w:rFonts w:ascii="Times New Roman" w:hAnsi="Times New Roman" w:cs="Times New Roman"/>
        </w:rPr>
      </w:pPr>
    </w:p>
    <w:p w:rsidR="00F97DD4" w:rsidRPr="00C84312" w:rsidRDefault="0076314B" w:rsidP="0076314B">
      <w:pPr>
        <w:pStyle w:val="Heading2"/>
        <w:rPr>
          <w:rFonts w:ascii="Times New Roman" w:hAnsi="Times New Roman" w:cs="Times New Roman"/>
          <w:sz w:val="24"/>
          <w:szCs w:val="24"/>
        </w:rPr>
      </w:pPr>
      <w:r w:rsidRPr="00C84312">
        <w:rPr>
          <w:rFonts w:ascii="Times New Roman" w:hAnsi="Times New Roman" w:cs="Times New Roman"/>
          <w:sz w:val="24"/>
          <w:szCs w:val="24"/>
        </w:rPr>
        <w:t>Other Variables Impacting Student Success</w:t>
      </w:r>
    </w:p>
    <w:p w:rsidR="000D3D8F" w:rsidRPr="00C84312" w:rsidRDefault="000D3D8F" w:rsidP="00AD14B0">
      <w:pPr>
        <w:jc w:val="both"/>
        <w:rPr>
          <w:rFonts w:ascii="Times New Roman" w:hAnsi="Times New Roman" w:cs="Times New Roman"/>
        </w:rPr>
      </w:pPr>
    </w:p>
    <w:p w:rsidR="0076314B" w:rsidRPr="00C84312" w:rsidRDefault="00B60575" w:rsidP="00AD14B0">
      <w:pPr>
        <w:jc w:val="both"/>
        <w:rPr>
          <w:rFonts w:ascii="Times New Roman" w:hAnsi="Times New Roman" w:cs="Times New Roman"/>
        </w:rPr>
      </w:pPr>
      <w:r w:rsidRPr="00C84312">
        <w:rPr>
          <w:rFonts w:ascii="Times New Roman" w:hAnsi="Times New Roman" w:cs="Times New Roman"/>
        </w:rPr>
        <w:t>The success r</w:t>
      </w:r>
      <w:r w:rsidR="00AA68FC" w:rsidRPr="00C84312">
        <w:rPr>
          <w:rFonts w:ascii="Times New Roman" w:hAnsi="Times New Roman" w:cs="Times New Roman"/>
        </w:rPr>
        <w:t>ate for this sample is only 38</w:t>
      </w:r>
      <w:r w:rsidR="00AD653E" w:rsidRPr="00C84312">
        <w:rPr>
          <w:rFonts w:ascii="Times New Roman" w:hAnsi="Times New Roman" w:cs="Times New Roman"/>
        </w:rPr>
        <w:t>%, considerably lower than the success rate calculated for the 2011 Mathematics Program Assessment Report of 46%.</w:t>
      </w:r>
      <w:r w:rsidRPr="00C84312">
        <w:rPr>
          <w:rFonts w:ascii="Times New Roman" w:hAnsi="Times New Roman" w:cs="Times New Roman"/>
        </w:rPr>
        <w:t xml:space="preserve">   Success rate is calculated by adding all of the students with a passing grade </w:t>
      </w:r>
      <w:r w:rsidR="004E7929" w:rsidRPr="00C84312">
        <w:rPr>
          <w:rFonts w:ascii="Times New Roman" w:hAnsi="Times New Roman" w:cs="Times New Roman"/>
        </w:rPr>
        <w:t>and dividing that sum</w:t>
      </w:r>
      <w:r w:rsidRPr="00C84312">
        <w:rPr>
          <w:rFonts w:ascii="Times New Roman" w:hAnsi="Times New Roman" w:cs="Times New Roman"/>
        </w:rPr>
        <w:t xml:space="preserve"> by the total of all students enrolled in the </w:t>
      </w:r>
      <w:r w:rsidR="0085586E">
        <w:rPr>
          <w:rFonts w:ascii="Times New Roman" w:hAnsi="Times New Roman" w:cs="Times New Roman"/>
        </w:rPr>
        <w:t>cohort</w:t>
      </w:r>
      <w:r w:rsidRPr="00C84312">
        <w:rPr>
          <w:rFonts w:ascii="Times New Roman" w:hAnsi="Times New Roman" w:cs="Times New Roman"/>
        </w:rPr>
        <w:t xml:space="preserve"> (including Withdraw and Incomplete grades).</w:t>
      </w:r>
      <w:r w:rsidR="00964E67" w:rsidRPr="00C84312">
        <w:rPr>
          <w:rFonts w:ascii="Times New Roman" w:hAnsi="Times New Roman" w:cs="Times New Roman"/>
        </w:rPr>
        <w:t xml:space="preserve">  Success rates am</w:t>
      </w:r>
      <w:r w:rsidR="00AA68FC" w:rsidRPr="00C84312">
        <w:rPr>
          <w:rFonts w:ascii="Times New Roman" w:hAnsi="Times New Roman" w:cs="Times New Roman"/>
        </w:rPr>
        <w:t xml:space="preserve">ong the sections </w:t>
      </w:r>
      <w:r w:rsidR="00AD653E" w:rsidRPr="00C84312">
        <w:rPr>
          <w:rFonts w:ascii="Times New Roman" w:hAnsi="Times New Roman" w:cs="Times New Roman"/>
        </w:rPr>
        <w:t xml:space="preserve">for this study </w:t>
      </w:r>
      <w:r w:rsidR="00AA68FC" w:rsidRPr="00C84312">
        <w:rPr>
          <w:rFonts w:ascii="Times New Roman" w:hAnsi="Times New Roman" w:cs="Times New Roman"/>
        </w:rPr>
        <w:t>range f</w:t>
      </w:r>
      <w:r w:rsidR="00176078" w:rsidRPr="00C84312">
        <w:rPr>
          <w:rFonts w:ascii="Times New Roman" w:hAnsi="Times New Roman" w:cs="Times New Roman"/>
        </w:rPr>
        <w:t>rom 14</w:t>
      </w:r>
      <w:r w:rsidR="00AA68FC" w:rsidRPr="00C84312">
        <w:rPr>
          <w:rFonts w:ascii="Times New Roman" w:hAnsi="Times New Roman" w:cs="Times New Roman"/>
        </w:rPr>
        <w:t>% to 91</w:t>
      </w:r>
      <w:r w:rsidR="00176078" w:rsidRPr="00C84312">
        <w:rPr>
          <w:rFonts w:ascii="Times New Roman" w:hAnsi="Times New Roman" w:cs="Times New Roman"/>
        </w:rPr>
        <w:t xml:space="preserve">%.  The biggest impact </w:t>
      </w:r>
      <w:r w:rsidR="0085586E">
        <w:rPr>
          <w:rFonts w:ascii="Times New Roman" w:hAnsi="Times New Roman" w:cs="Times New Roman"/>
        </w:rPr>
        <w:t>on</w:t>
      </w:r>
      <w:r w:rsidR="00AD653E" w:rsidRPr="00C84312">
        <w:rPr>
          <w:rFonts w:ascii="Times New Roman" w:hAnsi="Times New Roman" w:cs="Times New Roman"/>
        </w:rPr>
        <w:t xml:space="preserve"> </w:t>
      </w:r>
      <w:r w:rsidR="00176078" w:rsidRPr="00C84312">
        <w:rPr>
          <w:rFonts w:ascii="Times New Roman" w:hAnsi="Times New Roman" w:cs="Times New Roman"/>
        </w:rPr>
        <w:t xml:space="preserve">the calculation of </w:t>
      </w:r>
      <w:r w:rsidR="00964E67" w:rsidRPr="00C84312">
        <w:rPr>
          <w:rFonts w:ascii="Times New Roman" w:hAnsi="Times New Roman" w:cs="Times New Roman"/>
        </w:rPr>
        <w:t>success ra</w:t>
      </w:r>
      <w:r w:rsidR="00AA68FC" w:rsidRPr="00C84312">
        <w:rPr>
          <w:rFonts w:ascii="Times New Roman" w:hAnsi="Times New Roman" w:cs="Times New Roman"/>
        </w:rPr>
        <w:t>te are the students who either withdre</w:t>
      </w:r>
      <w:r w:rsidR="00964E67" w:rsidRPr="00C84312">
        <w:rPr>
          <w:rFonts w:ascii="Times New Roman" w:hAnsi="Times New Roman" w:cs="Times New Roman"/>
        </w:rPr>
        <w:t>w or simply stop</w:t>
      </w:r>
      <w:r w:rsidR="00AA68FC" w:rsidRPr="00C84312">
        <w:rPr>
          <w:rFonts w:ascii="Times New Roman" w:hAnsi="Times New Roman" w:cs="Times New Roman"/>
        </w:rPr>
        <w:t>ped</w:t>
      </w:r>
      <w:r w:rsidR="00964E67" w:rsidRPr="00C84312">
        <w:rPr>
          <w:rFonts w:ascii="Times New Roman" w:hAnsi="Times New Roman" w:cs="Times New Roman"/>
        </w:rPr>
        <w:t xml:space="preserve"> attending</w:t>
      </w:r>
      <w:r w:rsidR="0085586E">
        <w:rPr>
          <w:rFonts w:ascii="Times New Roman" w:hAnsi="Times New Roman" w:cs="Times New Roman"/>
        </w:rPr>
        <w:t>, thus</w:t>
      </w:r>
      <w:r w:rsidR="00964E67" w:rsidRPr="00C84312">
        <w:rPr>
          <w:rFonts w:ascii="Times New Roman" w:hAnsi="Times New Roman" w:cs="Times New Roman"/>
        </w:rPr>
        <w:t xml:space="preserve"> defaulting to a grade of ‘F’.  Exactly 100 out of the 271 students in the sample did n</w:t>
      </w:r>
      <w:r w:rsidR="00AD653E" w:rsidRPr="00C84312">
        <w:rPr>
          <w:rFonts w:ascii="Times New Roman" w:hAnsi="Times New Roman" w:cs="Times New Roman"/>
        </w:rPr>
        <w:t>ot complete the course.  Seventy students</w:t>
      </w:r>
      <w:r w:rsidR="00964E67" w:rsidRPr="00C84312">
        <w:rPr>
          <w:rFonts w:ascii="Times New Roman" w:hAnsi="Times New Roman" w:cs="Times New Roman"/>
        </w:rPr>
        <w:t xml:space="preserve"> (26%</w:t>
      </w:r>
      <w:r w:rsidR="00AD653E" w:rsidRPr="00C84312">
        <w:rPr>
          <w:rFonts w:ascii="Times New Roman" w:hAnsi="Times New Roman" w:cs="Times New Roman"/>
        </w:rPr>
        <w:t xml:space="preserve"> of the sample)</w:t>
      </w:r>
      <w:r w:rsidR="00964E67" w:rsidRPr="00C84312">
        <w:rPr>
          <w:rFonts w:ascii="Times New Roman" w:hAnsi="Times New Roman" w:cs="Times New Roman"/>
        </w:rPr>
        <w:t xml:space="preserve"> did not show up to take the final exam, and therefore</w:t>
      </w:r>
      <w:r w:rsidR="004E7929" w:rsidRPr="00C84312">
        <w:rPr>
          <w:rFonts w:ascii="Times New Roman" w:hAnsi="Times New Roman" w:cs="Times New Roman"/>
        </w:rPr>
        <w:t xml:space="preserve"> earn</w:t>
      </w:r>
      <w:r w:rsidR="0085586E">
        <w:rPr>
          <w:rFonts w:ascii="Times New Roman" w:hAnsi="Times New Roman" w:cs="Times New Roman"/>
        </w:rPr>
        <w:t>ed</w:t>
      </w:r>
      <w:r w:rsidR="004E7929" w:rsidRPr="00C84312">
        <w:rPr>
          <w:rFonts w:ascii="Times New Roman" w:hAnsi="Times New Roman" w:cs="Times New Roman"/>
        </w:rPr>
        <w:t xml:space="preserve"> a grade of ‘F’.  Twenty-nine</w:t>
      </w:r>
      <w:r w:rsidR="00AD653E" w:rsidRPr="00C84312">
        <w:rPr>
          <w:rFonts w:ascii="Times New Roman" w:hAnsi="Times New Roman" w:cs="Times New Roman"/>
        </w:rPr>
        <w:t xml:space="preserve"> students</w:t>
      </w:r>
      <w:r w:rsidR="00964E67" w:rsidRPr="00C84312">
        <w:rPr>
          <w:rFonts w:ascii="Times New Roman" w:hAnsi="Times New Roman" w:cs="Times New Roman"/>
        </w:rPr>
        <w:t xml:space="preserve"> (11%</w:t>
      </w:r>
      <w:r w:rsidR="00AD653E" w:rsidRPr="00C84312">
        <w:rPr>
          <w:rFonts w:ascii="Times New Roman" w:hAnsi="Times New Roman" w:cs="Times New Roman"/>
        </w:rPr>
        <w:t xml:space="preserve"> of the sample</w:t>
      </w:r>
      <w:r w:rsidR="00964E67" w:rsidRPr="00C84312">
        <w:rPr>
          <w:rFonts w:ascii="Times New Roman" w:hAnsi="Times New Roman" w:cs="Times New Roman"/>
        </w:rPr>
        <w:t>) withdrew, and the</w:t>
      </w:r>
      <w:r w:rsidR="003A03C6" w:rsidRPr="00C84312">
        <w:rPr>
          <w:rFonts w:ascii="Times New Roman" w:hAnsi="Times New Roman" w:cs="Times New Roman"/>
        </w:rPr>
        <w:t>refore earn</w:t>
      </w:r>
      <w:r w:rsidR="0085586E">
        <w:rPr>
          <w:rFonts w:ascii="Times New Roman" w:hAnsi="Times New Roman" w:cs="Times New Roman"/>
        </w:rPr>
        <w:t>ed</w:t>
      </w:r>
      <w:r w:rsidR="003A03C6" w:rsidRPr="00C84312">
        <w:rPr>
          <w:rFonts w:ascii="Times New Roman" w:hAnsi="Times New Roman" w:cs="Times New Roman"/>
        </w:rPr>
        <w:t xml:space="preserve"> a grade of ‘W’.  </w:t>
      </w:r>
      <w:r w:rsidR="004E7929" w:rsidRPr="00C84312">
        <w:rPr>
          <w:rFonts w:ascii="Times New Roman" w:hAnsi="Times New Roman" w:cs="Times New Roman"/>
        </w:rPr>
        <w:t>Only one student (0.4%) received an “I” (Incomplete) grade.  In fact, only 25% (67</w:t>
      </w:r>
      <w:r w:rsidR="003A03C6" w:rsidRPr="00C84312">
        <w:rPr>
          <w:rFonts w:ascii="Times New Roman" w:hAnsi="Times New Roman" w:cs="Times New Roman"/>
        </w:rPr>
        <w:t xml:space="preserve"> out of 271) of </w:t>
      </w:r>
      <w:r w:rsidR="00AD653E" w:rsidRPr="00C84312">
        <w:rPr>
          <w:rFonts w:ascii="Times New Roman" w:hAnsi="Times New Roman" w:cs="Times New Roman"/>
        </w:rPr>
        <w:t xml:space="preserve">the </w:t>
      </w:r>
      <w:r w:rsidR="003A03C6" w:rsidRPr="00C84312">
        <w:rPr>
          <w:rFonts w:ascii="Times New Roman" w:hAnsi="Times New Roman" w:cs="Times New Roman"/>
        </w:rPr>
        <w:t xml:space="preserve">students </w:t>
      </w:r>
      <w:r w:rsidR="00AD653E" w:rsidRPr="00C84312">
        <w:rPr>
          <w:rFonts w:ascii="Times New Roman" w:hAnsi="Times New Roman" w:cs="Times New Roman"/>
        </w:rPr>
        <w:t xml:space="preserve">in the sample </w:t>
      </w:r>
      <w:r w:rsidR="0085586E">
        <w:rPr>
          <w:rFonts w:ascii="Times New Roman" w:hAnsi="Times New Roman" w:cs="Times New Roman"/>
        </w:rPr>
        <w:t>failed the final exam.</w:t>
      </w:r>
    </w:p>
    <w:p w:rsidR="004E7929" w:rsidRPr="00C84312" w:rsidRDefault="004E7929" w:rsidP="00AD14B0">
      <w:pPr>
        <w:jc w:val="both"/>
        <w:rPr>
          <w:rFonts w:ascii="Times New Roman" w:hAnsi="Times New Roman" w:cs="Times New Roman"/>
        </w:rPr>
      </w:pPr>
    </w:p>
    <w:p w:rsidR="004E7929" w:rsidRPr="00C84312" w:rsidRDefault="0085586E" w:rsidP="00AD14B0">
      <w:pPr>
        <w:jc w:val="both"/>
        <w:rPr>
          <w:rFonts w:ascii="Times New Roman" w:hAnsi="Times New Roman" w:cs="Times New Roman"/>
        </w:rPr>
      </w:pPr>
      <w:r>
        <w:rPr>
          <w:rFonts w:ascii="Times New Roman" w:hAnsi="Times New Roman" w:cs="Times New Roman"/>
        </w:rPr>
        <w:t>As was mentioned above, t</w:t>
      </w:r>
      <w:r w:rsidR="00272D19" w:rsidRPr="00C84312">
        <w:rPr>
          <w:rFonts w:ascii="Times New Roman" w:hAnsi="Times New Roman" w:cs="Times New Roman"/>
        </w:rPr>
        <w:t>here is a large disparity in success rate a</w:t>
      </w:r>
      <w:r w:rsidR="004E7929" w:rsidRPr="00C84312">
        <w:rPr>
          <w:rFonts w:ascii="Times New Roman" w:hAnsi="Times New Roman" w:cs="Times New Roman"/>
        </w:rPr>
        <w:t>mong the 11 sections</w:t>
      </w:r>
      <w:r w:rsidR="00272D19" w:rsidRPr="00C84312">
        <w:rPr>
          <w:rFonts w:ascii="Times New Roman" w:hAnsi="Times New Roman" w:cs="Times New Roman"/>
        </w:rPr>
        <w:t xml:space="preserve"> that participated in the study </w:t>
      </w:r>
      <w:r w:rsidR="00C52DF7" w:rsidRPr="00C84312">
        <w:rPr>
          <w:rFonts w:ascii="Times New Roman" w:hAnsi="Times New Roman" w:cs="Times New Roman"/>
        </w:rPr>
        <w:t xml:space="preserve">ranging from a low of 14% to a high of 91%.  The average success rate for the 11 sections is 38% and the median success rate is 36%.  The chart </w:t>
      </w:r>
      <w:r>
        <w:rPr>
          <w:rFonts w:ascii="Times New Roman" w:hAnsi="Times New Roman" w:cs="Times New Roman"/>
        </w:rPr>
        <w:t xml:space="preserve">below </w:t>
      </w:r>
      <w:r w:rsidR="00C52DF7" w:rsidRPr="00C84312">
        <w:rPr>
          <w:rFonts w:ascii="Times New Roman" w:hAnsi="Times New Roman" w:cs="Times New Roman"/>
        </w:rPr>
        <w:t xml:space="preserve">depicts the success rate for each section that participated in the study by </w:t>
      </w:r>
      <w:r>
        <w:rPr>
          <w:rFonts w:ascii="Times New Roman" w:hAnsi="Times New Roman" w:cs="Times New Roman"/>
        </w:rPr>
        <w:t>full-time and part-time faculty.</w:t>
      </w:r>
    </w:p>
    <w:p w:rsidR="00272D19" w:rsidRPr="00C84312" w:rsidRDefault="00272D19" w:rsidP="00AD14B0">
      <w:pPr>
        <w:jc w:val="both"/>
        <w:rPr>
          <w:rFonts w:ascii="Times New Roman" w:hAnsi="Times New Roman" w:cs="Times New Roman"/>
        </w:rPr>
      </w:pPr>
    </w:p>
    <w:p w:rsidR="003A03C6" w:rsidRPr="00C84312" w:rsidRDefault="003A03C6" w:rsidP="00AD14B0">
      <w:pPr>
        <w:jc w:val="both"/>
        <w:rPr>
          <w:rFonts w:ascii="Times New Roman" w:hAnsi="Times New Roman" w:cs="Times New Roman"/>
        </w:rPr>
      </w:pPr>
    </w:p>
    <w:p w:rsidR="00C52DF7" w:rsidRPr="00C84312" w:rsidRDefault="00C52DF7" w:rsidP="00AD14B0">
      <w:pPr>
        <w:jc w:val="both"/>
        <w:rPr>
          <w:rFonts w:ascii="Times New Roman" w:hAnsi="Times New Roman" w:cs="Times New Roman"/>
        </w:rPr>
      </w:pPr>
    </w:p>
    <w:p w:rsidR="00C52DF7" w:rsidRPr="00C84312" w:rsidRDefault="00C52DF7" w:rsidP="00AD14B0">
      <w:pPr>
        <w:jc w:val="both"/>
        <w:rPr>
          <w:rFonts w:ascii="Times New Roman" w:hAnsi="Times New Roman" w:cs="Times New Roman"/>
        </w:rPr>
      </w:pPr>
      <w:r w:rsidRPr="00C84312">
        <w:rPr>
          <w:rFonts w:ascii="Times New Roman" w:hAnsi="Times New Roman" w:cs="Times New Roman"/>
          <w:noProof/>
        </w:rPr>
        <w:drawing>
          <wp:inline distT="0" distB="0" distL="0" distR="0">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2DF7" w:rsidRDefault="00C52DF7" w:rsidP="00AD14B0">
      <w:pPr>
        <w:jc w:val="both"/>
        <w:rPr>
          <w:rFonts w:ascii="Times New Roman" w:hAnsi="Times New Roman" w:cs="Times New Roman"/>
        </w:rPr>
      </w:pPr>
    </w:p>
    <w:p w:rsidR="0085586E" w:rsidRPr="00C84312" w:rsidRDefault="0085586E" w:rsidP="00AD14B0">
      <w:pPr>
        <w:jc w:val="both"/>
        <w:rPr>
          <w:rFonts w:ascii="Times New Roman" w:hAnsi="Times New Roman" w:cs="Times New Roman"/>
        </w:rPr>
      </w:pPr>
    </w:p>
    <w:p w:rsidR="003A03C6" w:rsidRPr="00C84312" w:rsidRDefault="003A03C6" w:rsidP="00AD14B0">
      <w:pPr>
        <w:jc w:val="both"/>
        <w:rPr>
          <w:rFonts w:ascii="Times New Roman" w:hAnsi="Times New Roman" w:cs="Times New Roman"/>
        </w:rPr>
      </w:pPr>
      <w:r w:rsidRPr="00C84312">
        <w:rPr>
          <w:rFonts w:ascii="Times New Roman" w:hAnsi="Times New Roman" w:cs="Times New Roman"/>
        </w:rPr>
        <w:t>MPO res</w:t>
      </w:r>
      <w:r w:rsidR="004E7929" w:rsidRPr="00C84312">
        <w:rPr>
          <w:rFonts w:ascii="Times New Roman" w:hAnsi="Times New Roman" w:cs="Times New Roman"/>
        </w:rPr>
        <w:t>ults are significantly higher</w:t>
      </w:r>
      <w:r w:rsidRPr="00C84312">
        <w:rPr>
          <w:rFonts w:ascii="Times New Roman" w:hAnsi="Times New Roman" w:cs="Times New Roman"/>
        </w:rPr>
        <w:t xml:space="preserve"> than the </w:t>
      </w:r>
      <w:r w:rsidR="005E67F9" w:rsidRPr="00C84312">
        <w:rPr>
          <w:rFonts w:ascii="Times New Roman" w:hAnsi="Times New Roman" w:cs="Times New Roman"/>
        </w:rPr>
        <w:t>success rates previously discussed.  All 9 of the MPOs analyzed we</w:t>
      </w:r>
      <w:r w:rsidR="0098754C" w:rsidRPr="00C84312">
        <w:rPr>
          <w:rFonts w:ascii="Times New Roman" w:hAnsi="Times New Roman" w:cs="Times New Roman"/>
        </w:rPr>
        <w:t>re</w:t>
      </w:r>
      <w:r w:rsidR="005E67F9" w:rsidRPr="00C84312">
        <w:rPr>
          <w:rFonts w:ascii="Times New Roman" w:hAnsi="Times New Roman" w:cs="Times New Roman"/>
        </w:rPr>
        <w:t xml:space="preserve"> achieved, but the succ</w:t>
      </w:r>
      <w:r w:rsidR="00AD653E" w:rsidRPr="00C84312">
        <w:rPr>
          <w:rFonts w:ascii="Times New Roman" w:hAnsi="Times New Roman" w:cs="Times New Roman"/>
        </w:rPr>
        <w:t>ess rate for this sample is only 38</w:t>
      </w:r>
      <w:r w:rsidR="005E67F9" w:rsidRPr="00C84312">
        <w:rPr>
          <w:rFonts w:ascii="Times New Roman" w:hAnsi="Times New Roman" w:cs="Times New Roman"/>
        </w:rPr>
        <w:t>%.  Since the success rate calculation includes all students enrolled, students that do not take the</w:t>
      </w:r>
      <w:r w:rsidR="004E7929" w:rsidRPr="00C84312">
        <w:rPr>
          <w:rFonts w:ascii="Times New Roman" w:hAnsi="Times New Roman" w:cs="Times New Roman"/>
        </w:rPr>
        <w:t xml:space="preserve"> final exam significantly lower</w:t>
      </w:r>
      <w:r w:rsidR="005E67F9" w:rsidRPr="00C84312">
        <w:rPr>
          <w:rFonts w:ascii="Times New Roman" w:hAnsi="Times New Roman" w:cs="Times New Roman"/>
        </w:rPr>
        <w:t xml:space="preserve"> </w:t>
      </w:r>
      <w:r w:rsidR="00AD653E" w:rsidRPr="00C84312">
        <w:rPr>
          <w:rFonts w:ascii="Times New Roman" w:hAnsi="Times New Roman" w:cs="Times New Roman"/>
        </w:rPr>
        <w:t xml:space="preserve">the </w:t>
      </w:r>
      <w:r w:rsidR="005E67F9" w:rsidRPr="00C84312">
        <w:rPr>
          <w:rFonts w:ascii="Times New Roman" w:hAnsi="Times New Roman" w:cs="Times New Roman"/>
        </w:rPr>
        <w:t>success rate</w:t>
      </w:r>
      <w:r w:rsidR="00AD653E" w:rsidRPr="00C84312">
        <w:rPr>
          <w:rFonts w:ascii="Times New Roman" w:hAnsi="Times New Roman" w:cs="Times New Roman"/>
        </w:rPr>
        <w:t xml:space="preserve"> calculation</w:t>
      </w:r>
      <w:r w:rsidR="005E67F9" w:rsidRPr="00C84312">
        <w:rPr>
          <w:rFonts w:ascii="Times New Roman" w:hAnsi="Times New Roman" w:cs="Times New Roman"/>
        </w:rPr>
        <w:t>.  Omitting students that did not take the final exam, either because they withdrew</w:t>
      </w:r>
      <w:r w:rsidR="004E7929" w:rsidRPr="00C84312">
        <w:rPr>
          <w:rFonts w:ascii="Times New Roman" w:hAnsi="Times New Roman" w:cs="Times New Roman"/>
        </w:rPr>
        <w:t>, received an Incomplete grade</w:t>
      </w:r>
      <w:r w:rsidR="005E67F9" w:rsidRPr="00C84312">
        <w:rPr>
          <w:rFonts w:ascii="Times New Roman" w:hAnsi="Times New Roman" w:cs="Times New Roman"/>
        </w:rPr>
        <w:t xml:space="preserve"> or stopped attending, </w:t>
      </w:r>
      <w:r w:rsidR="00A43FCE">
        <w:rPr>
          <w:rFonts w:ascii="Times New Roman" w:hAnsi="Times New Roman" w:cs="Times New Roman"/>
        </w:rPr>
        <w:t>returns</w:t>
      </w:r>
      <w:r w:rsidR="005E67F9" w:rsidRPr="00C84312">
        <w:rPr>
          <w:rFonts w:ascii="Times New Roman" w:hAnsi="Times New Roman" w:cs="Times New Roman"/>
        </w:rPr>
        <w:t xml:space="preserve"> a </w:t>
      </w:r>
      <w:r w:rsidR="00AD653E" w:rsidRPr="00C84312">
        <w:rPr>
          <w:rFonts w:ascii="Times New Roman" w:hAnsi="Times New Roman" w:cs="Times New Roman"/>
        </w:rPr>
        <w:t>much higher success rate of 61</w:t>
      </w:r>
      <w:r w:rsidR="005E67F9" w:rsidRPr="00C84312">
        <w:rPr>
          <w:rFonts w:ascii="Times New Roman" w:hAnsi="Times New Roman" w:cs="Times New Roman"/>
        </w:rPr>
        <w:t>%</w:t>
      </w:r>
      <w:r w:rsidR="00AD653E" w:rsidRPr="00C84312">
        <w:rPr>
          <w:rFonts w:ascii="Times New Roman" w:hAnsi="Times New Roman" w:cs="Times New Roman"/>
        </w:rPr>
        <w:t xml:space="preserve"> (number</w:t>
      </w:r>
      <w:r w:rsidR="00DC53FD" w:rsidRPr="00C84312">
        <w:rPr>
          <w:rFonts w:ascii="Times New Roman" w:hAnsi="Times New Roman" w:cs="Times New Roman"/>
        </w:rPr>
        <w:t xml:space="preserve"> of students tha</w:t>
      </w:r>
      <w:r w:rsidR="00AD653E" w:rsidRPr="00C84312">
        <w:rPr>
          <w:rFonts w:ascii="Times New Roman" w:hAnsi="Times New Roman" w:cs="Times New Roman"/>
        </w:rPr>
        <w:t xml:space="preserve">t passed </w:t>
      </w:r>
      <w:r w:rsidR="0094727F" w:rsidRPr="00C84312">
        <w:rPr>
          <w:rFonts w:ascii="Times New Roman" w:hAnsi="Times New Roman" w:cs="Times New Roman"/>
        </w:rPr>
        <w:t xml:space="preserve">the </w:t>
      </w:r>
      <w:r w:rsidR="00AD653E" w:rsidRPr="00C84312">
        <w:rPr>
          <w:rFonts w:ascii="Times New Roman" w:hAnsi="Times New Roman" w:cs="Times New Roman"/>
        </w:rPr>
        <w:t>final exam divided by number</w:t>
      </w:r>
      <w:r w:rsidR="00DC53FD" w:rsidRPr="00C84312">
        <w:rPr>
          <w:rFonts w:ascii="Times New Roman" w:hAnsi="Times New Roman" w:cs="Times New Roman"/>
        </w:rPr>
        <w:t xml:space="preserve"> of students that took the final exam).  In addition, the multiple-choice section of the final exam is typically easier than the rest of the exam.  Therefore, it is reasonable that the MPOs analyzed on t</w:t>
      </w:r>
      <w:r w:rsidR="004E7929" w:rsidRPr="00C84312">
        <w:rPr>
          <w:rFonts w:ascii="Times New Roman" w:hAnsi="Times New Roman" w:cs="Times New Roman"/>
        </w:rPr>
        <w:t>he final exam were all achieved despite the very low success rate for this sample.</w:t>
      </w:r>
    </w:p>
    <w:p w:rsidR="00D010D3" w:rsidRPr="00C84312" w:rsidRDefault="00D010D3" w:rsidP="00AD14B0">
      <w:pPr>
        <w:jc w:val="both"/>
        <w:rPr>
          <w:rFonts w:ascii="Times New Roman" w:hAnsi="Times New Roman" w:cs="Times New Roman"/>
        </w:rPr>
      </w:pPr>
    </w:p>
    <w:p w:rsidR="000D3D8F" w:rsidRPr="00C84312" w:rsidRDefault="0005395B" w:rsidP="00AD14B0">
      <w:pPr>
        <w:jc w:val="both"/>
        <w:rPr>
          <w:rFonts w:ascii="Times New Roman" w:hAnsi="Times New Roman" w:cs="Times New Roman"/>
        </w:rPr>
      </w:pPr>
      <w:r w:rsidRPr="00C84312">
        <w:rPr>
          <w:rFonts w:ascii="Times New Roman" w:hAnsi="Times New Roman" w:cs="Times New Roman"/>
        </w:rPr>
        <w:t>Several factors were compared to do further analysis of success rates</w:t>
      </w:r>
      <w:r w:rsidR="00845C4D" w:rsidRPr="00C84312">
        <w:rPr>
          <w:rFonts w:ascii="Times New Roman" w:hAnsi="Times New Roman" w:cs="Times New Roman"/>
        </w:rPr>
        <w:t xml:space="preserve"> including day </w:t>
      </w:r>
      <w:r w:rsidR="00A43FCE">
        <w:rPr>
          <w:rFonts w:ascii="Times New Roman" w:hAnsi="Times New Roman" w:cs="Times New Roman"/>
        </w:rPr>
        <w:t>versus</w:t>
      </w:r>
      <w:r w:rsidR="00845C4D" w:rsidRPr="00C84312">
        <w:rPr>
          <w:rFonts w:ascii="Times New Roman" w:hAnsi="Times New Roman" w:cs="Times New Roman"/>
        </w:rPr>
        <w:t xml:space="preserve"> evening sections, being taught by full-time</w:t>
      </w:r>
      <w:r w:rsidR="00A43FCE">
        <w:rPr>
          <w:rFonts w:ascii="Times New Roman" w:hAnsi="Times New Roman" w:cs="Times New Roman"/>
        </w:rPr>
        <w:t xml:space="preserve"> versus</w:t>
      </w:r>
      <w:r w:rsidR="00845C4D" w:rsidRPr="00C84312">
        <w:rPr>
          <w:rFonts w:ascii="Times New Roman" w:hAnsi="Times New Roman" w:cs="Times New Roman"/>
        </w:rPr>
        <w:t xml:space="preserve"> part-time faculty, class size, and being taught at the </w:t>
      </w:r>
      <w:r w:rsidR="00A43FCE">
        <w:rPr>
          <w:rFonts w:ascii="Times New Roman" w:hAnsi="Times New Roman" w:cs="Times New Roman"/>
        </w:rPr>
        <w:t>m</w:t>
      </w:r>
      <w:r w:rsidR="00845C4D" w:rsidRPr="00C84312">
        <w:rPr>
          <w:rFonts w:ascii="Times New Roman" w:hAnsi="Times New Roman" w:cs="Times New Roman"/>
        </w:rPr>
        <w:t xml:space="preserve">ain </w:t>
      </w:r>
      <w:r w:rsidR="00A43FCE">
        <w:rPr>
          <w:rFonts w:ascii="Times New Roman" w:hAnsi="Times New Roman" w:cs="Times New Roman"/>
        </w:rPr>
        <w:t>c</w:t>
      </w:r>
      <w:r w:rsidR="00845C4D" w:rsidRPr="00C84312">
        <w:rPr>
          <w:rFonts w:ascii="Times New Roman" w:hAnsi="Times New Roman" w:cs="Times New Roman"/>
        </w:rPr>
        <w:t xml:space="preserve">ampus </w:t>
      </w:r>
      <w:r w:rsidR="00A43FCE">
        <w:rPr>
          <w:rFonts w:ascii="Times New Roman" w:hAnsi="Times New Roman" w:cs="Times New Roman"/>
        </w:rPr>
        <w:t>versus</w:t>
      </w:r>
      <w:r w:rsidR="00845C4D" w:rsidRPr="00C84312">
        <w:rPr>
          <w:rFonts w:ascii="Times New Roman" w:hAnsi="Times New Roman" w:cs="Times New Roman"/>
        </w:rPr>
        <w:t xml:space="preserve"> the West Essex </w:t>
      </w:r>
      <w:r w:rsidR="00A43FCE">
        <w:rPr>
          <w:rFonts w:ascii="Times New Roman" w:hAnsi="Times New Roman" w:cs="Times New Roman"/>
        </w:rPr>
        <w:t>c</w:t>
      </w:r>
      <w:r w:rsidR="00845C4D" w:rsidRPr="00C84312">
        <w:rPr>
          <w:rFonts w:ascii="Times New Roman" w:hAnsi="Times New Roman" w:cs="Times New Roman"/>
        </w:rPr>
        <w:t>ampus</w:t>
      </w:r>
      <w:r w:rsidR="00A43FCE">
        <w:rPr>
          <w:rFonts w:ascii="Times New Roman" w:hAnsi="Times New Roman" w:cs="Times New Roman"/>
        </w:rPr>
        <w:t>.  The following findings are noteworthy:</w:t>
      </w:r>
    </w:p>
    <w:p w:rsidR="000D3D8F" w:rsidRPr="00C84312" w:rsidRDefault="000D3D8F" w:rsidP="00AD14B0">
      <w:pPr>
        <w:jc w:val="both"/>
        <w:rPr>
          <w:rFonts w:ascii="Times New Roman" w:hAnsi="Times New Roman" w:cs="Times New Roman"/>
        </w:rPr>
      </w:pPr>
    </w:p>
    <w:p w:rsidR="000D3D8F" w:rsidRPr="00C84312" w:rsidRDefault="00D010D3" w:rsidP="000D3D8F">
      <w:pPr>
        <w:pStyle w:val="ListParagraph"/>
        <w:numPr>
          <w:ilvl w:val="0"/>
          <w:numId w:val="2"/>
        </w:numPr>
        <w:jc w:val="both"/>
        <w:rPr>
          <w:rFonts w:ascii="Times New Roman" w:hAnsi="Times New Roman" w:cs="Times New Roman"/>
        </w:rPr>
      </w:pPr>
      <w:r w:rsidRPr="00C84312">
        <w:rPr>
          <w:rFonts w:ascii="Times New Roman" w:hAnsi="Times New Roman" w:cs="Times New Roman"/>
        </w:rPr>
        <w:t>Although 3 evening sections were selected to participate in the study, only 1 of the instructors completed the survey.  Therefore, there is not enough data to compare</w:t>
      </w:r>
      <w:r w:rsidR="00407743" w:rsidRPr="00C84312">
        <w:rPr>
          <w:rFonts w:ascii="Times New Roman" w:hAnsi="Times New Roman" w:cs="Times New Roman"/>
        </w:rPr>
        <w:t xml:space="preserve"> day and evening sections. </w:t>
      </w:r>
    </w:p>
    <w:p w:rsidR="000D3D8F" w:rsidRPr="00C84312" w:rsidRDefault="00407743" w:rsidP="000D3D8F">
      <w:pPr>
        <w:pStyle w:val="ListParagraph"/>
        <w:jc w:val="both"/>
        <w:rPr>
          <w:rFonts w:ascii="Times New Roman" w:hAnsi="Times New Roman" w:cs="Times New Roman"/>
        </w:rPr>
      </w:pPr>
      <w:r w:rsidRPr="00C84312">
        <w:rPr>
          <w:rFonts w:ascii="Times New Roman" w:hAnsi="Times New Roman" w:cs="Times New Roman"/>
        </w:rPr>
        <w:t xml:space="preserve"> </w:t>
      </w:r>
    </w:p>
    <w:p w:rsidR="000D3D8F" w:rsidRPr="00C84312" w:rsidRDefault="00BB2853" w:rsidP="000D3D8F">
      <w:pPr>
        <w:pStyle w:val="ListParagraph"/>
        <w:numPr>
          <w:ilvl w:val="0"/>
          <w:numId w:val="2"/>
        </w:numPr>
        <w:jc w:val="both"/>
        <w:rPr>
          <w:rFonts w:ascii="Times New Roman" w:hAnsi="Times New Roman" w:cs="Times New Roman"/>
        </w:rPr>
      </w:pPr>
      <w:r w:rsidRPr="00C84312">
        <w:rPr>
          <w:rFonts w:ascii="Times New Roman" w:hAnsi="Times New Roman" w:cs="Times New Roman"/>
        </w:rPr>
        <w:t>Full-time faculty members taught two MTH 086 sections</w:t>
      </w:r>
      <w:r w:rsidR="00407743" w:rsidRPr="00C84312">
        <w:rPr>
          <w:rFonts w:ascii="Times New Roman" w:hAnsi="Times New Roman" w:cs="Times New Roman"/>
        </w:rPr>
        <w:t xml:space="preserve">, and </w:t>
      </w:r>
      <w:r w:rsidRPr="00C84312">
        <w:rPr>
          <w:rFonts w:ascii="Times New Roman" w:hAnsi="Times New Roman" w:cs="Times New Roman"/>
        </w:rPr>
        <w:t>part-time faculty taught 9 sections</w:t>
      </w:r>
      <w:r w:rsidR="00407743" w:rsidRPr="00C84312">
        <w:rPr>
          <w:rFonts w:ascii="Times New Roman" w:hAnsi="Times New Roman" w:cs="Times New Roman"/>
        </w:rPr>
        <w:t xml:space="preserve">.  </w:t>
      </w:r>
      <w:r w:rsidR="00C64506" w:rsidRPr="00C84312">
        <w:rPr>
          <w:rFonts w:ascii="Times New Roman" w:hAnsi="Times New Roman" w:cs="Times New Roman"/>
        </w:rPr>
        <w:t>Although the sample size is small for full-time faculty, the succe</w:t>
      </w:r>
      <w:r w:rsidR="00AD653E" w:rsidRPr="00C84312">
        <w:rPr>
          <w:rFonts w:ascii="Times New Roman" w:hAnsi="Times New Roman" w:cs="Times New Roman"/>
        </w:rPr>
        <w:t>ss rate for full-time faculty is</w:t>
      </w:r>
      <w:r w:rsidR="00C64506" w:rsidRPr="00C84312">
        <w:rPr>
          <w:rFonts w:ascii="Times New Roman" w:hAnsi="Times New Roman" w:cs="Times New Roman"/>
        </w:rPr>
        <w:t xml:space="preserve"> </w:t>
      </w:r>
      <w:r w:rsidR="0005395B" w:rsidRPr="00C84312">
        <w:rPr>
          <w:rFonts w:ascii="Times New Roman" w:hAnsi="Times New Roman" w:cs="Times New Roman"/>
        </w:rPr>
        <w:t xml:space="preserve">only </w:t>
      </w:r>
      <w:r w:rsidR="00C64506" w:rsidRPr="00C84312">
        <w:rPr>
          <w:rFonts w:ascii="Times New Roman" w:hAnsi="Times New Roman" w:cs="Times New Roman"/>
        </w:rPr>
        <w:t xml:space="preserve">29% and the success </w:t>
      </w:r>
      <w:r w:rsidR="0005395B" w:rsidRPr="00C84312">
        <w:rPr>
          <w:rFonts w:ascii="Times New Roman" w:hAnsi="Times New Roman" w:cs="Times New Roman"/>
        </w:rPr>
        <w:t xml:space="preserve">rate for part-time faculty is </w:t>
      </w:r>
      <w:r w:rsidR="00C64506" w:rsidRPr="00C84312">
        <w:rPr>
          <w:rFonts w:ascii="Times New Roman" w:hAnsi="Times New Roman" w:cs="Times New Roman"/>
        </w:rPr>
        <w:t xml:space="preserve">significantly higher </w:t>
      </w:r>
      <w:r w:rsidR="0091199E" w:rsidRPr="00C84312">
        <w:rPr>
          <w:rFonts w:ascii="Times New Roman" w:hAnsi="Times New Roman" w:cs="Times New Roman"/>
        </w:rPr>
        <w:t xml:space="preserve">at </w:t>
      </w:r>
      <w:r w:rsidR="00C64506" w:rsidRPr="00C84312">
        <w:rPr>
          <w:rFonts w:ascii="Times New Roman" w:hAnsi="Times New Roman" w:cs="Times New Roman"/>
        </w:rPr>
        <w:t xml:space="preserve">57%.  </w:t>
      </w:r>
      <w:r w:rsidR="000F7096" w:rsidRPr="00C84312">
        <w:rPr>
          <w:rFonts w:ascii="Times New Roman" w:hAnsi="Times New Roman" w:cs="Times New Roman"/>
        </w:rPr>
        <w:t>As discussed earlier, large disparities in the success rate of the 11 sections that participated in the study contribute to the difference in success rate</w:t>
      </w:r>
      <w:r w:rsidR="00DA64FE" w:rsidRPr="00C84312">
        <w:rPr>
          <w:rFonts w:ascii="Times New Roman" w:hAnsi="Times New Roman" w:cs="Times New Roman"/>
        </w:rPr>
        <w:t xml:space="preserve"> among full-time and part-time faculty members.  In particular, one part-time faculty member had an unusually high success rate of 91%.</w:t>
      </w:r>
    </w:p>
    <w:p w:rsidR="000D3D8F" w:rsidRPr="00C84312" w:rsidRDefault="000D3D8F" w:rsidP="000D3D8F">
      <w:pPr>
        <w:jc w:val="both"/>
        <w:rPr>
          <w:rFonts w:ascii="Times New Roman" w:hAnsi="Times New Roman" w:cs="Times New Roman"/>
        </w:rPr>
      </w:pPr>
    </w:p>
    <w:p w:rsidR="000D3D8F" w:rsidRPr="00C84312" w:rsidRDefault="00C64506" w:rsidP="000D3D8F">
      <w:pPr>
        <w:pStyle w:val="ListParagraph"/>
        <w:numPr>
          <w:ilvl w:val="0"/>
          <w:numId w:val="2"/>
        </w:numPr>
        <w:jc w:val="both"/>
        <w:rPr>
          <w:rFonts w:ascii="Times New Roman" w:hAnsi="Times New Roman" w:cs="Times New Roman"/>
        </w:rPr>
      </w:pPr>
      <w:r w:rsidRPr="00C84312">
        <w:rPr>
          <w:rFonts w:ascii="Times New Roman" w:hAnsi="Times New Roman" w:cs="Times New Roman"/>
        </w:rPr>
        <w:t xml:space="preserve">Class size appears to have an impact on student success.  </w:t>
      </w:r>
      <w:r w:rsidR="00BE69C0" w:rsidRPr="00C84312">
        <w:rPr>
          <w:rFonts w:ascii="Times New Roman" w:hAnsi="Times New Roman" w:cs="Times New Roman"/>
        </w:rPr>
        <w:t xml:space="preserve">Of the 11 sections that participated in the study, 6 had class sizes of 24 students or less.  The remaining 5 sections had class sizes of 25 or more.  The </w:t>
      </w:r>
      <w:r w:rsidR="00540650" w:rsidRPr="00C84312">
        <w:rPr>
          <w:rFonts w:ascii="Times New Roman" w:hAnsi="Times New Roman" w:cs="Times New Roman"/>
        </w:rPr>
        <w:t xml:space="preserve">sections with </w:t>
      </w:r>
      <w:r w:rsidR="00BE69C0" w:rsidRPr="00C84312">
        <w:rPr>
          <w:rFonts w:ascii="Times New Roman" w:hAnsi="Times New Roman" w:cs="Times New Roman"/>
        </w:rPr>
        <w:t xml:space="preserve">class sizes of 24 or less had a success rate of 43%, </w:t>
      </w:r>
      <w:r w:rsidR="00A43FCE">
        <w:rPr>
          <w:rFonts w:ascii="Times New Roman" w:hAnsi="Times New Roman" w:cs="Times New Roman"/>
        </w:rPr>
        <w:t>whereas</w:t>
      </w:r>
      <w:r w:rsidR="00BE69C0" w:rsidRPr="00C84312">
        <w:rPr>
          <w:rFonts w:ascii="Times New Roman" w:hAnsi="Times New Roman" w:cs="Times New Roman"/>
        </w:rPr>
        <w:t xml:space="preserve"> the larger </w:t>
      </w:r>
      <w:r w:rsidR="00540650" w:rsidRPr="00C84312">
        <w:rPr>
          <w:rFonts w:ascii="Times New Roman" w:hAnsi="Times New Roman" w:cs="Times New Roman"/>
        </w:rPr>
        <w:t xml:space="preserve">sections with </w:t>
      </w:r>
      <w:r w:rsidR="00BE69C0" w:rsidRPr="00C84312">
        <w:rPr>
          <w:rFonts w:ascii="Times New Roman" w:hAnsi="Times New Roman" w:cs="Times New Roman"/>
        </w:rPr>
        <w:t xml:space="preserve">class sizes of 25 or more had a </w:t>
      </w:r>
      <w:r w:rsidR="00A43FCE">
        <w:rPr>
          <w:rFonts w:ascii="Times New Roman" w:hAnsi="Times New Roman" w:cs="Times New Roman"/>
        </w:rPr>
        <w:t xml:space="preserve">lower </w:t>
      </w:r>
      <w:r w:rsidR="00BE69C0" w:rsidRPr="00C84312">
        <w:rPr>
          <w:rFonts w:ascii="Times New Roman" w:hAnsi="Times New Roman" w:cs="Times New Roman"/>
        </w:rPr>
        <w:t xml:space="preserve">success rate of </w:t>
      </w:r>
      <w:r w:rsidR="0091199E" w:rsidRPr="00C84312">
        <w:rPr>
          <w:rFonts w:ascii="Times New Roman" w:hAnsi="Times New Roman" w:cs="Times New Roman"/>
        </w:rPr>
        <w:t>34%.</w:t>
      </w:r>
    </w:p>
    <w:p w:rsidR="000D3D8F" w:rsidRPr="00C84312" w:rsidRDefault="0091199E" w:rsidP="000D3D8F">
      <w:pPr>
        <w:jc w:val="both"/>
        <w:rPr>
          <w:rFonts w:ascii="Times New Roman" w:hAnsi="Times New Roman" w:cs="Times New Roman"/>
        </w:rPr>
      </w:pPr>
      <w:r w:rsidRPr="00C84312">
        <w:rPr>
          <w:rFonts w:ascii="Times New Roman" w:hAnsi="Times New Roman" w:cs="Times New Roman"/>
        </w:rPr>
        <w:t xml:space="preserve">  </w:t>
      </w:r>
    </w:p>
    <w:p w:rsidR="00D010D3" w:rsidRPr="00C84312" w:rsidRDefault="0005395B" w:rsidP="000D3D8F">
      <w:pPr>
        <w:pStyle w:val="ListParagraph"/>
        <w:numPr>
          <w:ilvl w:val="0"/>
          <w:numId w:val="2"/>
        </w:numPr>
        <w:jc w:val="both"/>
        <w:rPr>
          <w:rFonts w:ascii="Times New Roman" w:hAnsi="Times New Roman" w:cs="Times New Roman"/>
        </w:rPr>
      </w:pPr>
      <w:r w:rsidRPr="00C84312">
        <w:rPr>
          <w:rFonts w:ascii="Times New Roman" w:hAnsi="Times New Roman" w:cs="Times New Roman"/>
        </w:rPr>
        <w:t xml:space="preserve">Finally, success rates were compared between the </w:t>
      </w:r>
      <w:r w:rsidR="00A43FCE">
        <w:rPr>
          <w:rFonts w:ascii="Times New Roman" w:hAnsi="Times New Roman" w:cs="Times New Roman"/>
        </w:rPr>
        <w:t>m</w:t>
      </w:r>
      <w:r w:rsidRPr="00C84312">
        <w:rPr>
          <w:rFonts w:ascii="Times New Roman" w:hAnsi="Times New Roman" w:cs="Times New Roman"/>
        </w:rPr>
        <w:t xml:space="preserve">ain </w:t>
      </w:r>
      <w:r w:rsidR="00A43FCE">
        <w:rPr>
          <w:rFonts w:ascii="Times New Roman" w:hAnsi="Times New Roman" w:cs="Times New Roman"/>
        </w:rPr>
        <w:t>c</w:t>
      </w:r>
      <w:r w:rsidRPr="00C84312">
        <w:rPr>
          <w:rFonts w:ascii="Times New Roman" w:hAnsi="Times New Roman" w:cs="Times New Roman"/>
        </w:rPr>
        <w:t xml:space="preserve">ampus and the West Essex </w:t>
      </w:r>
      <w:r w:rsidR="00A43FCE">
        <w:rPr>
          <w:rFonts w:ascii="Times New Roman" w:hAnsi="Times New Roman" w:cs="Times New Roman"/>
        </w:rPr>
        <w:t>c</w:t>
      </w:r>
      <w:r w:rsidRPr="00C84312">
        <w:rPr>
          <w:rFonts w:ascii="Times New Roman" w:hAnsi="Times New Roman" w:cs="Times New Roman"/>
        </w:rPr>
        <w:t xml:space="preserve">ampus.  </w:t>
      </w:r>
      <w:r w:rsidR="00540650" w:rsidRPr="00C84312">
        <w:rPr>
          <w:rFonts w:ascii="Times New Roman" w:hAnsi="Times New Roman" w:cs="Times New Roman"/>
        </w:rPr>
        <w:t xml:space="preserve">For this study, 8 sections from the </w:t>
      </w:r>
      <w:r w:rsidR="00A43FCE">
        <w:rPr>
          <w:rFonts w:ascii="Times New Roman" w:hAnsi="Times New Roman" w:cs="Times New Roman"/>
        </w:rPr>
        <w:t>m</w:t>
      </w:r>
      <w:r w:rsidR="00540650" w:rsidRPr="00C84312">
        <w:rPr>
          <w:rFonts w:ascii="Times New Roman" w:hAnsi="Times New Roman" w:cs="Times New Roman"/>
        </w:rPr>
        <w:t xml:space="preserve">ain </w:t>
      </w:r>
      <w:r w:rsidR="00A43FCE">
        <w:rPr>
          <w:rFonts w:ascii="Times New Roman" w:hAnsi="Times New Roman" w:cs="Times New Roman"/>
        </w:rPr>
        <w:t>c</w:t>
      </w:r>
      <w:r w:rsidR="00540650" w:rsidRPr="00C84312">
        <w:rPr>
          <w:rFonts w:ascii="Times New Roman" w:hAnsi="Times New Roman" w:cs="Times New Roman"/>
        </w:rPr>
        <w:t xml:space="preserve">ampus and 3 sections from the West Essex </w:t>
      </w:r>
      <w:r w:rsidR="00A43FCE">
        <w:rPr>
          <w:rFonts w:ascii="Times New Roman" w:hAnsi="Times New Roman" w:cs="Times New Roman"/>
        </w:rPr>
        <w:t>c</w:t>
      </w:r>
      <w:r w:rsidR="00540650" w:rsidRPr="00C84312">
        <w:rPr>
          <w:rFonts w:ascii="Times New Roman" w:hAnsi="Times New Roman" w:cs="Times New Roman"/>
        </w:rPr>
        <w:t>ampus</w:t>
      </w:r>
      <w:r w:rsidR="009C345D" w:rsidRPr="00C84312">
        <w:rPr>
          <w:rFonts w:ascii="Times New Roman" w:hAnsi="Times New Roman" w:cs="Times New Roman"/>
        </w:rPr>
        <w:t xml:space="preserve"> participated</w:t>
      </w:r>
      <w:r w:rsidR="00540650" w:rsidRPr="00C84312">
        <w:rPr>
          <w:rFonts w:ascii="Times New Roman" w:hAnsi="Times New Roman" w:cs="Times New Roman"/>
        </w:rPr>
        <w:t xml:space="preserve">.  </w:t>
      </w:r>
      <w:r w:rsidRPr="00C84312">
        <w:rPr>
          <w:rFonts w:ascii="Times New Roman" w:hAnsi="Times New Roman" w:cs="Times New Roman"/>
        </w:rPr>
        <w:t xml:space="preserve">The sections at the </w:t>
      </w:r>
      <w:r w:rsidR="00A43FCE">
        <w:rPr>
          <w:rFonts w:ascii="Times New Roman" w:hAnsi="Times New Roman" w:cs="Times New Roman"/>
        </w:rPr>
        <w:t>m</w:t>
      </w:r>
      <w:r w:rsidRPr="00C84312">
        <w:rPr>
          <w:rFonts w:ascii="Times New Roman" w:hAnsi="Times New Roman" w:cs="Times New Roman"/>
        </w:rPr>
        <w:t xml:space="preserve">ain </w:t>
      </w:r>
      <w:r w:rsidR="00A43FCE">
        <w:rPr>
          <w:rFonts w:ascii="Times New Roman" w:hAnsi="Times New Roman" w:cs="Times New Roman"/>
        </w:rPr>
        <w:t>c</w:t>
      </w:r>
      <w:r w:rsidRPr="00C84312">
        <w:rPr>
          <w:rFonts w:ascii="Times New Roman" w:hAnsi="Times New Roman" w:cs="Times New Roman"/>
        </w:rPr>
        <w:t xml:space="preserve">ampus had a success rate of 29%, and the sections taught at the West Essex </w:t>
      </w:r>
      <w:r w:rsidR="00A43FCE">
        <w:rPr>
          <w:rFonts w:ascii="Times New Roman" w:hAnsi="Times New Roman" w:cs="Times New Roman"/>
        </w:rPr>
        <w:t>c</w:t>
      </w:r>
      <w:r w:rsidRPr="00C84312">
        <w:rPr>
          <w:rFonts w:ascii="Times New Roman" w:hAnsi="Times New Roman" w:cs="Times New Roman"/>
        </w:rPr>
        <w:t xml:space="preserve">ampus had a significantly higher success rate of 58%.  </w:t>
      </w:r>
      <w:r w:rsidR="0091199E" w:rsidRPr="00C84312">
        <w:rPr>
          <w:rFonts w:ascii="Times New Roman" w:hAnsi="Times New Roman" w:cs="Times New Roman"/>
        </w:rPr>
        <w:t xml:space="preserve"> </w:t>
      </w:r>
      <w:r w:rsidR="00A316DE" w:rsidRPr="00C84312">
        <w:rPr>
          <w:rFonts w:ascii="Times New Roman" w:hAnsi="Times New Roman" w:cs="Times New Roman"/>
        </w:rPr>
        <w:t xml:space="preserve">This indicates greater success at the West Essex </w:t>
      </w:r>
      <w:r w:rsidR="00A43FCE">
        <w:rPr>
          <w:rFonts w:ascii="Times New Roman" w:hAnsi="Times New Roman" w:cs="Times New Roman"/>
        </w:rPr>
        <w:t>c</w:t>
      </w:r>
      <w:r w:rsidR="00A316DE" w:rsidRPr="00C84312">
        <w:rPr>
          <w:rFonts w:ascii="Times New Roman" w:hAnsi="Times New Roman" w:cs="Times New Roman"/>
        </w:rPr>
        <w:t xml:space="preserve">ampus, but it is important to note that at the </w:t>
      </w:r>
      <w:r w:rsidR="00A43FCE">
        <w:rPr>
          <w:rFonts w:ascii="Times New Roman" w:hAnsi="Times New Roman" w:cs="Times New Roman"/>
        </w:rPr>
        <w:t>m</w:t>
      </w:r>
      <w:r w:rsidR="00A316DE" w:rsidRPr="00C84312">
        <w:rPr>
          <w:rFonts w:ascii="Times New Roman" w:hAnsi="Times New Roman" w:cs="Times New Roman"/>
        </w:rPr>
        <w:t xml:space="preserve">ain </w:t>
      </w:r>
      <w:r w:rsidR="00A43FCE">
        <w:rPr>
          <w:rFonts w:ascii="Times New Roman" w:hAnsi="Times New Roman" w:cs="Times New Roman"/>
        </w:rPr>
        <w:t>c</w:t>
      </w:r>
      <w:r w:rsidR="00A316DE" w:rsidRPr="00C84312">
        <w:rPr>
          <w:rFonts w:ascii="Times New Roman" w:hAnsi="Times New Roman" w:cs="Times New Roman"/>
        </w:rPr>
        <w:t>ampus only 57% of the students that enrolled in the class</w:t>
      </w:r>
      <w:r w:rsidR="000D3D8F" w:rsidRPr="00C84312">
        <w:rPr>
          <w:rFonts w:ascii="Times New Roman" w:hAnsi="Times New Roman" w:cs="Times New Roman"/>
        </w:rPr>
        <w:t xml:space="preserve"> took the final exam and at the West Essex </w:t>
      </w:r>
      <w:r w:rsidR="00A43FCE">
        <w:rPr>
          <w:rFonts w:ascii="Times New Roman" w:hAnsi="Times New Roman" w:cs="Times New Roman"/>
        </w:rPr>
        <w:t>c</w:t>
      </w:r>
      <w:r w:rsidR="000D3D8F" w:rsidRPr="00C84312">
        <w:rPr>
          <w:rFonts w:ascii="Times New Roman" w:hAnsi="Times New Roman" w:cs="Times New Roman"/>
        </w:rPr>
        <w:t xml:space="preserve">ampus 76% took the final exam.  The higher percentage of students at the West Essex </w:t>
      </w:r>
      <w:r w:rsidR="00A43FCE">
        <w:rPr>
          <w:rFonts w:ascii="Times New Roman" w:hAnsi="Times New Roman" w:cs="Times New Roman"/>
        </w:rPr>
        <w:t>c</w:t>
      </w:r>
      <w:r w:rsidR="000D3D8F" w:rsidRPr="00C84312">
        <w:rPr>
          <w:rFonts w:ascii="Times New Roman" w:hAnsi="Times New Roman" w:cs="Times New Roman"/>
        </w:rPr>
        <w:t xml:space="preserve">ampus that took the final exam could attribute to the greater success rate at West Essex. </w:t>
      </w:r>
    </w:p>
    <w:p w:rsidR="00412CDF" w:rsidRPr="00C84312" w:rsidRDefault="00412CDF" w:rsidP="00412CDF">
      <w:pPr>
        <w:jc w:val="both"/>
        <w:rPr>
          <w:rFonts w:ascii="Times New Roman" w:hAnsi="Times New Roman" w:cs="Times New Roman"/>
        </w:rPr>
      </w:pPr>
    </w:p>
    <w:p w:rsidR="00412CDF" w:rsidRPr="00C84312" w:rsidRDefault="00412CDF" w:rsidP="00412CDF">
      <w:pPr>
        <w:jc w:val="both"/>
        <w:rPr>
          <w:rFonts w:ascii="Times New Roman" w:hAnsi="Times New Roman" w:cs="Times New Roman"/>
        </w:rPr>
      </w:pPr>
    </w:p>
    <w:p w:rsidR="00412CDF" w:rsidRPr="008862A1" w:rsidRDefault="00412CDF" w:rsidP="00412CDF">
      <w:pPr>
        <w:pStyle w:val="Heading2"/>
        <w:rPr>
          <w:rFonts w:ascii="Times New Roman" w:hAnsi="Times New Roman" w:cs="Times New Roman"/>
          <w:sz w:val="24"/>
          <w:szCs w:val="24"/>
        </w:rPr>
      </w:pPr>
      <w:r w:rsidRPr="008862A1">
        <w:rPr>
          <w:rFonts w:ascii="Times New Roman" w:hAnsi="Times New Roman" w:cs="Times New Roman"/>
          <w:sz w:val="24"/>
          <w:szCs w:val="24"/>
        </w:rPr>
        <w:t>Learning Strategies</w:t>
      </w:r>
    </w:p>
    <w:p w:rsidR="00412CDF" w:rsidRPr="00C84312" w:rsidRDefault="00412CDF" w:rsidP="00412CDF">
      <w:pPr>
        <w:jc w:val="both"/>
        <w:rPr>
          <w:rFonts w:ascii="Times New Roman" w:hAnsi="Times New Roman" w:cs="Times New Roman"/>
        </w:rPr>
      </w:pPr>
    </w:p>
    <w:p w:rsidR="00397D44" w:rsidRPr="00C84312" w:rsidRDefault="00412CDF" w:rsidP="00397D44">
      <w:pPr>
        <w:jc w:val="both"/>
        <w:rPr>
          <w:rFonts w:ascii="Times New Roman" w:hAnsi="Times New Roman" w:cs="Times New Roman"/>
        </w:rPr>
      </w:pPr>
      <w:r w:rsidRPr="00C84312">
        <w:rPr>
          <w:rFonts w:ascii="Times New Roman" w:hAnsi="Times New Roman" w:cs="Times New Roman"/>
        </w:rPr>
        <w:t xml:space="preserve">All instructors in this study use lecturing as the primary means of teaching with many examples provided throughout the lecture, but other methods are also utilized such as board-work where all students participate in the resolution of the problem, small group work where students work in groups of two or three, and individual work </w:t>
      </w:r>
      <w:r w:rsidR="00D84323" w:rsidRPr="00C84312">
        <w:rPr>
          <w:rFonts w:ascii="Times New Roman" w:hAnsi="Times New Roman" w:cs="Times New Roman"/>
        </w:rPr>
        <w:t>where the instructor can provide personalized feedback.  The latter is usually only feasible in smaller class sizes.  In addition, this study revealed that 82% of the instructo</w:t>
      </w:r>
      <w:r w:rsidR="00206EC7" w:rsidRPr="00C84312">
        <w:rPr>
          <w:rFonts w:ascii="Times New Roman" w:hAnsi="Times New Roman" w:cs="Times New Roman"/>
        </w:rPr>
        <w:t xml:space="preserve">rs grade homework and count the homework </w:t>
      </w:r>
      <w:r w:rsidR="008862A1">
        <w:rPr>
          <w:rFonts w:ascii="Times New Roman" w:hAnsi="Times New Roman" w:cs="Times New Roman"/>
        </w:rPr>
        <w:t>scores</w:t>
      </w:r>
      <w:r w:rsidR="00206EC7" w:rsidRPr="00C84312">
        <w:rPr>
          <w:rFonts w:ascii="Times New Roman" w:hAnsi="Times New Roman" w:cs="Times New Roman"/>
        </w:rPr>
        <w:t xml:space="preserve"> in</w:t>
      </w:r>
      <w:r w:rsidR="00D84323" w:rsidRPr="00C84312">
        <w:rPr>
          <w:rFonts w:ascii="Times New Roman" w:hAnsi="Times New Roman" w:cs="Times New Roman"/>
        </w:rPr>
        <w:t xml:space="preserve"> the final </w:t>
      </w:r>
      <w:r w:rsidR="008862A1">
        <w:rPr>
          <w:rFonts w:ascii="Times New Roman" w:hAnsi="Times New Roman" w:cs="Times New Roman"/>
        </w:rPr>
        <w:t xml:space="preserve">course </w:t>
      </w:r>
      <w:r w:rsidR="00D84323" w:rsidRPr="00C84312">
        <w:rPr>
          <w:rFonts w:ascii="Times New Roman" w:hAnsi="Times New Roman" w:cs="Times New Roman"/>
        </w:rPr>
        <w:t>grade.  As the use of technology increases in the MAP Division, this study also revealed that 36% of the participants in the study use online homework systems (WebAssign or MyMathLab).  The instructors that grade homework, but do not use online homework systems</w:t>
      </w:r>
      <w:r w:rsidR="008862A1">
        <w:rPr>
          <w:rFonts w:ascii="Times New Roman" w:hAnsi="Times New Roman" w:cs="Times New Roman"/>
        </w:rPr>
        <w:t>,</w:t>
      </w:r>
      <w:r w:rsidR="00D84323" w:rsidRPr="00C84312">
        <w:rPr>
          <w:rFonts w:ascii="Times New Roman" w:hAnsi="Times New Roman" w:cs="Times New Roman"/>
        </w:rPr>
        <w:t xml:space="preserve"> collect the homework on paper.  The average homework grade for the students that took the final exam was 72%.  It is not surprising that the average </w:t>
      </w:r>
      <w:r w:rsidR="00206EC7" w:rsidRPr="00C84312">
        <w:rPr>
          <w:rFonts w:ascii="Times New Roman" w:hAnsi="Times New Roman" w:cs="Times New Roman"/>
        </w:rPr>
        <w:t>homework gr</w:t>
      </w:r>
      <w:r w:rsidR="009C345D" w:rsidRPr="00C84312">
        <w:rPr>
          <w:rFonts w:ascii="Times New Roman" w:hAnsi="Times New Roman" w:cs="Times New Roman"/>
        </w:rPr>
        <w:t>ade is more inline with the MPO</w:t>
      </w:r>
      <w:r w:rsidR="00397D44" w:rsidRPr="00C84312">
        <w:rPr>
          <w:rFonts w:ascii="Times New Roman" w:hAnsi="Times New Roman" w:cs="Times New Roman"/>
        </w:rPr>
        <w:t xml:space="preserve"> achievement results.  </w:t>
      </w:r>
      <w:r w:rsidR="00D84323" w:rsidRPr="00C84312">
        <w:rPr>
          <w:rFonts w:ascii="Times New Roman" w:hAnsi="Times New Roman" w:cs="Times New Roman"/>
        </w:rPr>
        <w:t>The importance of doing all homework assignments in a time</w:t>
      </w:r>
      <w:r w:rsidR="00206EC7" w:rsidRPr="00C84312">
        <w:rPr>
          <w:rFonts w:ascii="Times New Roman" w:hAnsi="Times New Roman" w:cs="Times New Roman"/>
        </w:rPr>
        <w:t>ly manner is crucial to student success, regardless of whether the instructor grades the homework or not.  The MAP Division provides each instructor a course outline with a complete list of recommended homework problems.</w:t>
      </w:r>
    </w:p>
    <w:p w:rsidR="00206EC7" w:rsidRPr="00C84312" w:rsidRDefault="00206EC7" w:rsidP="00397D44">
      <w:pPr>
        <w:jc w:val="both"/>
        <w:rPr>
          <w:rFonts w:ascii="Times New Roman" w:hAnsi="Times New Roman" w:cs="Times New Roman"/>
        </w:rPr>
      </w:pPr>
    </w:p>
    <w:p w:rsidR="00206EC7" w:rsidRPr="00C84312" w:rsidRDefault="00206EC7" w:rsidP="00397D44">
      <w:pPr>
        <w:jc w:val="both"/>
        <w:rPr>
          <w:rFonts w:ascii="Times New Roman" w:hAnsi="Times New Roman" w:cs="Times New Roman"/>
        </w:rPr>
      </w:pPr>
      <w:r w:rsidRPr="00C84312">
        <w:rPr>
          <w:rFonts w:ascii="Times New Roman" w:hAnsi="Times New Roman" w:cs="Times New Roman"/>
        </w:rPr>
        <w:t xml:space="preserve">In addition, the textbook selected by the MAP Division for the MTH 086 course at the College is custom packaged with a workbook and DVDs containing lectures when purchased at the ECC Bookstore.  These DVD lectures provide a valuable resource for students that </w:t>
      </w:r>
      <w:r w:rsidR="002D5A91" w:rsidRPr="00C84312">
        <w:rPr>
          <w:rFonts w:ascii="Times New Roman" w:hAnsi="Times New Roman" w:cs="Times New Roman"/>
        </w:rPr>
        <w:t>miss class or simply need to revisit a lecture</w:t>
      </w:r>
      <w:r w:rsidR="0049651F" w:rsidRPr="00C84312">
        <w:rPr>
          <w:rFonts w:ascii="Times New Roman" w:hAnsi="Times New Roman" w:cs="Times New Roman"/>
        </w:rPr>
        <w:t>.</w:t>
      </w:r>
    </w:p>
    <w:p w:rsidR="00D010D3" w:rsidRPr="008862A1" w:rsidRDefault="00D010D3" w:rsidP="00D010D3">
      <w:pPr>
        <w:pStyle w:val="Heading1"/>
        <w:rPr>
          <w:rFonts w:ascii="Times New Roman" w:hAnsi="Times New Roman" w:cs="Times New Roman"/>
          <w:sz w:val="24"/>
          <w:szCs w:val="24"/>
        </w:rPr>
      </w:pPr>
      <w:r w:rsidRPr="008862A1">
        <w:rPr>
          <w:rFonts w:ascii="Times New Roman" w:hAnsi="Times New Roman" w:cs="Times New Roman"/>
          <w:sz w:val="24"/>
          <w:szCs w:val="24"/>
        </w:rPr>
        <w:t>Conclusion and Recommendation</w:t>
      </w:r>
      <w:r w:rsidR="008862A1">
        <w:rPr>
          <w:rFonts w:ascii="Times New Roman" w:hAnsi="Times New Roman" w:cs="Times New Roman"/>
          <w:sz w:val="24"/>
          <w:szCs w:val="24"/>
        </w:rPr>
        <w:t>s</w:t>
      </w:r>
    </w:p>
    <w:p w:rsidR="000D3D8F" w:rsidRPr="00C84312" w:rsidRDefault="000D3D8F" w:rsidP="000D3D8F">
      <w:pPr>
        <w:rPr>
          <w:rFonts w:ascii="Times New Roman" w:hAnsi="Times New Roman" w:cs="Times New Roman"/>
        </w:rPr>
      </w:pPr>
    </w:p>
    <w:p w:rsidR="000D3D8F" w:rsidRPr="00C84312" w:rsidRDefault="000D3D8F" w:rsidP="00FB737B">
      <w:pPr>
        <w:jc w:val="both"/>
        <w:rPr>
          <w:rFonts w:ascii="Times New Roman" w:hAnsi="Times New Roman" w:cs="Times New Roman"/>
        </w:rPr>
      </w:pPr>
      <w:r w:rsidRPr="00C84312">
        <w:rPr>
          <w:rFonts w:ascii="Times New Roman" w:hAnsi="Times New Roman" w:cs="Times New Roman"/>
        </w:rPr>
        <w:t xml:space="preserve">In conclusion, </w:t>
      </w:r>
      <w:r w:rsidR="00AA68FC" w:rsidRPr="00C84312">
        <w:rPr>
          <w:rFonts w:ascii="Times New Roman" w:hAnsi="Times New Roman" w:cs="Times New Roman"/>
        </w:rPr>
        <w:t>the success rate for MTH 086 is very low.  MTH 086 is the course that most students place into</w:t>
      </w:r>
      <w:r w:rsidR="008862A1">
        <w:rPr>
          <w:rFonts w:ascii="Times New Roman" w:hAnsi="Times New Roman" w:cs="Times New Roman"/>
        </w:rPr>
        <w:t>,</w:t>
      </w:r>
      <w:r w:rsidR="00AA68FC" w:rsidRPr="00C84312">
        <w:rPr>
          <w:rFonts w:ascii="Times New Roman" w:hAnsi="Times New Roman" w:cs="Times New Roman"/>
        </w:rPr>
        <w:t xml:space="preserve"> and it is typically a problematic course for students to pass.  This study revealed a success rate of only 38%, although students in this sample achieved all 9 of the MPOs analyzed.</w:t>
      </w:r>
      <w:r w:rsidR="00FB737B" w:rsidRPr="00C84312">
        <w:rPr>
          <w:rFonts w:ascii="Times New Roman" w:hAnsi="Times New Roman" w:cs="Times New Roman"/>
        </w:rPr>
        <w:t xml:space="preserve">  As discussed earlier, a high attributor to the low success rate is t</w:t>
      </w:r>
      <w:r w:rsidR="002D5A91" w:rsidRPr="00C84312">
        <w:rPr>
          <w:rFonts w:ascii="Times New Roman" w:hAnsi="Times New Roman" w:cs="Times New Roman"/>
        </w:rPr>
        <w:t>he number of students who</w:t>
      </w:r>
      <w:r w:rsidR="00FB737B" w:rsidRPr="00C84312">
        <w:rPr>
          <w:rFonts w:ascii="Times New Roman" w:hAnsi="Times New Roman" w:cs="Times New Roman"/>
        </w:rPr>
        <w:t xml:space="preserve"> withdraw</w:t>
      </w:r>
      <w:r w:rsidR="0049651F" w:rsidRPr="00C84312">
        <w:rPr>
          <w:rFonts w:ascii="Times New Roman" w:hAnsi="Times New Roman" w:cs="Times New Roman"/>
        </w:rPr>
        <w:t>, receive a grade of Incomplete</w:t>
      </w:r>
      <w:r w:rsidR="00FB737B" w:rsidRPr="00C84312">
        <w:rPr>
          <w:rFonts w:ascii="Times New Roman" w:hAnsi="Times New Roman" w:cs="Times New Roman"/>
        </w:rPr>
        <w:t xml:space="preserve"> or stop attending.  </w:t>
      </w:r>
      <w:r w:rsidR="00096A4A" w:rsidRPr="00C84312">
        <w:rPr>
          <w:rFonts w:ascii="Times New Roman" w:hAnsi="Times New Roman" w:cs="Times New Roman"/>
        </w:rPr>
        <w:t xml:space="preserve">For this sample, only 63% of the students enrolled actually took the final exam.  The success rate is </w:t>
      </w:r>
      <w:r w:rsidR="008862A1">
        <w:rPr>
          <w:rFonts w:ascii="Times New Roman" w:hAnsi="Times New Roman" w:cs="Times New Roman"/>
        </w:rPr>
        <w:t xml:space="preserve">a </w:t>
      </w:r>
      <w:r w:rsidR="00096A4A" w:rsidRPr="00C84312">
        <w:rPr>
          <w:rFonts w:ascii="Times New Roman" w:hAnsi="Times New Roman" w:cs="Times New Roman"/>
        </w:rPr>
        <w:t xml:space="preserve">much higher 61% when students </w:t>
      </w:r>
      <w:r w:rsidR="008862A1">
        <w:rPr>
          <w:rFonts w:ascii="Times New Roman" w:hAnsi="Times New Roman" w:cs="Times New Roman"/>
        </w:rPr>
        <w:t>who</w:t>
      </w:r>
      <w:r w:rsidR="00096A4A" w:rsidRPr="00C84312">
        <w:rPr>
          <w:rFonts w:ascii="Times New Roman" w:hAnsi="Times New Roman" w:cs="Times New Roman"/>
        </w:rPr>
        <w:t xml:space="preserve"> did not take the final exam are omitted</w:t>
      </w:r>
      <w:r w:rsidR="008862A1">
        <w:rPr>
          <w:rFonts w:ascii="Times New Roman" w:hAnsi="Times New Roman" w:cs="Times New Roman"/>
        </w:rPr>
        <w:t xml:space="preserve"> from the success-rate-calculation cohort</w:t>
      </w:r>
      <w:r w:rsidR="00096A4A" w:rsidRPr="00C84312">
        <w:rPr>
          <w:rFonts w:ascii="Times New Roman" w:hAnsi="Times New Roman" w:cs="Times New Roman"/>
        </w:rPr>
        <w:t xml:space="preserve">.  </w:t>
      </w:r>
      <w:r w:rsidR="00FB737B" w:rsidRPr="00C84312">
        <w:rPr>
          <w:rFonts w:ascii="Times New Roman" w:hAnsi="Times New Roman" w:cs="Times New Roman"/>
        </w:rPr>
        <w:t xml:space="preserve">Factors such as class sizes of 24 or less and being taught at the West Essex </w:t>
      </w:r>
      <w:r w:rsidR="008862A1">
        <w:rPr>
          <w:rFonts w:ascii="Times New Roman" w:hAnsi="Times New Roman" w:cs="Times New Roman"/>
        </w:rPr>
        <w:t>c</w:t>
      </w:r>
      <w:r w:rsidR="00FB737B" w:rsidRPr="00C84312">
        <w:rPr>
          <w:rFonts w:ascii="Times New Roman" w:hAnsi="Times New Roman" w:cs="Times New Roman"/>
        </w:rPr>
        <w:t>ampus appear to have a p</w:t>
      </w:r>
      <w:r w:rsidR="00096A4A" w:rsidRPr="00C84312">
        <w:rPr>
          <w:rFonts w:ascii="Times New Roman" w:hAnsi="Times New Roman" w:cs="Times New Roman"/>
        </w:rPr>
        <w:t>ositive impact on success rates, but further studies are needed.</w:t>
      </w:r>
    </w:p>
    <w:p w:rsidR="00FB737B" w:rsidRPr="00C84312" w:rsidRDefault="00FB737B" w:rsidP="00FB737B">
      <w:pPr>
        <w:jc w:val="both"/>
        <w:rPr>
          <w:rFonts w:ascii="Times New Roman" w:hAnsi="Times New Roman" w:cs="Times New Roman"/>
        </w:rPr>
      </w:pPr>
    </w:p>
    <w:p w:rsidR="00FB737B" w:rsidRPr="00C84312" w:rsidRDefault="00FB737B" w:rsidP="00FB737B">
      <w:pPr>
        <w:jc w:val="both"/>
        <w:rPr>
          <w:rFonts w:ascii="Times New Roman" w:hAnsi="Times New Roman" w:cs="Times New Roman"/>
        </w:rPr>
      </w:pPr>
      <w:r w:rsidRPr="00C84312">
        <w:rPr>
          <w:rFonts w:ascii="Times New Roman" w:hAnsi="Times New Roman" w:cs="Times New Roman"/>
        </w:rPr>
        <w:t>It is recommend</w:t>
      </w:r>
      <w:r w:rsidR="005D7B42" w:rsidRPr="00C84312">
        <w:rPr>
          <w:rFonts w:ascii="Times New Roman" w:hAnsi="Times New Roman" w:cs="Times New Roman"/>
        </w:rPr>
        <w:t xml:space="preserve">ed that a similar study be done </w:t>
      </w:r>
      <w:r w:rsidR="0049651F" w:rsidRPr="00C84312">
        <w:rPr>
          <w:rFonts w:ascii="Times New Roman" w:hAnsi="Times New Roman" w:cs="Times New Roman"/>
        </w:rPr>
        <w:t>with a larger sample size</w:t>
      </w:r>
      <w:r w:rsidR="002D5A91" w:rsidRPr="00C84312">
        <w:rPr>
          <w:rFonts w:ascii="Times New Roman" w:hAnsi="Times New Roman" w:cs="Times New Roman"/>
        </w:rPr>
        <w:t>.</w:t>
      </w:r>
      <w:r w:rsidR="0049651F" w:rsidRPr="00C84312">
        <w:rPr>
          <w:rFonts w:ascii="Times New Roman" w:hAnsi="Times New Roman" w:cs="Times New Roman"/>
        </w:rPr>
        <w:t xml:space="preserve"> </w:t>
      </w:r>
      <w:r w:rsidR="002D5A91" w:rsidRPr="00C84312">
        <w:rPr>
          <w:rFonts w:ascii="Times New Roman" w:hAnsi="Times New Roman" w:cs="Times New Roman"/>
        </w:rPr>
        <w:t xml:space="preserve"> </w:t>
      </w:r>
      <w:r w:rsidRPr="00C84312">
        <w:rPr>
          <w:rFonts w:ascii="Times New Roman" w:hAnsi="Times New Roman" w:cs="Times New Roman"/>
        </w:rPr>
        <w:t>More evening sections are needed to do a proper comparison between day and eve</w:t>
      </w:r>
      <w:bookmarkStart w:id="0" w:name="_GoBack"/>
      <w:bookmarkEnd w:id="0"/>
      <w:r w:rsidRPr="00C84312">
        <w:rPr>
          <w:rFonts w:ascii="Times New Roman" w:hAnsi="Times New Roman" w:cs="Times New Roman"/>
        </w:rPr>
        <w:t xml:space="preserve">ning sections, but it is noted that </w:t>
      </w:r>
      <w:r w:rsidR="005D7B42" w:rsidRPr="00C84312">
        <w:rPr>
          <w:rFonts w:ascii="Times New Roman" w:hAnsi="Times New Roman" w:cs="Times New Roman"/>
        </w:rPr>
        <w:t xml:space="preserve">the current process of data collection relies primarily on the cooperation of the instructor.  Therefore, it is also recommended that the College invest in equipment, software and personnel to do proper </w:t>
      </w:r>
      <w:r w:rsidR="00397D44" w:rsidRPr="00C84312">
        <w:rPr>
          <w:rFonts w:ascii="Times New Roman" w:hAnsi="Times New Roman" w:cs="Times New Roman"/>
        </w:rPr>
        <w:t xml:space="preserve">and consistent </w:t>
      </w:r>
      <w:r w:rsidR="005D7B42" w:rsidRPr="00C84312">
        <w:rPr>
          <w:rFonts w:ascii="Times New Roman" w:hAnsi="Times New Roman" w:cs="Times New Roman"/>
        </w:rPr>
        <w:t>assessment.  If more resources are made available, then MPO assess</w:t>
      </w:r>
      <w:r w:rsidR="007225CA" w:rsidRPr="00C84312">
        <w:rPr>
          <w:rFonts w:ascii="Times New Roman" w:hAnsi="Times New Roman" w:cs="Times New Roman"/>
        </w:rPr>
        <w:t>ment can be expanded to include all</w:t>
      </w:r>
      <w:r w:rsidR="005D7B42" w:rsidRPr="00C84312">
        <w:rPr>
          <w:rFonts w:ascii="Times New Roman" w:hAnsi="Times New Roman" w:cs="Times New Roman"/>
        </w:rPr>
        <w:t xml:space="preserve"> course</w:t>
      </w:r>
      <w:r w:rsidR="007225CA" w:rsidRPr="00C84312">
        <w:rPr>
          <w:rFonts w:ascii="Times New Roman" w:hAnsi="Times New Roman" w:cs="Times New Roman"/>
        </w:rPr>
        <w:t>-level</w:t>
      </w:r>
      <w:r w:rsidR="005D7B42" w:rsidRPr="00C84312">
        <w:rPr>
          <w:rFonts w:ascii="Times New Roman" w:hAnsi="Times New Roman" w:cs="Times New Roman"/>
        </w:rPr>
        <w:t xml:space="preserve"> MPOs.  Finally, student attrition is highly problematic.</w:t>
      </w:r>
      <w:r w:rsidR="00BA1D75" w:rsidRPr="00C84312">
        <w:rPr>
          <w:rFonts w:ascii="Times New Roman" w:hAnsi="Times New Roman" w:cs="Times New Roman"/>
        </w:rPr>
        <w:t xml:space="preserve">  Poor math and reading background</w:t>
      </w:r>
      <w:r w:rsidR="0049651F" w:rsidRPr="00C84312">
        <w:rPr>
          <w:rFonts w:ascii="Times New Roman" w:hAnsi="Times New Roman" w:cs="Times New Roman"/>
        </w:rPr>
        <w:t>s</w:t>
      </w:r>
      <w:r w:rsidR="00BA1D75" w:rsidRPr="00C84312">
        <w:rPr>
          <w:rFonts w:ascii="Times New Roman" w:hAnsi="Times New Roman" w:cs="Times New Roman"/>
        </w:rPr>
        <w:t xml:space="preserve"> certainly contribute to the low success rate of this course, but other factors such as poor attendance, poor study habits, poor note taking and lack of homework completion are also contributors.</w:t>
      </w:r>
      <w:r w:rsidR="0049651F" w:rsidRPr="00C84312">
        <w:rPr>
          <w:rFonts w:ascii="Times New Roman" w:hAnsi="Times New Roman" w:cs="Times New Roman"/>
        </w:rPr>
        <w:t xml:space="preserve">  The CSS 101 (College Success Seminar) course offe</w:t>
      </w:r>
      <w:r w:rsidR="002D5A91" w:rsidRPr="00C84312">
        <w:rPr>
          <w:rFonts w:ascii="Times New Roman" w:hAnsi="Times New Roman" w:cs="Times New Roman"/>
        </w:rPr>
        <w:t>red at the College addresses many</w:t>
      </w:r>
      <w:r w:rsidR="0049651F" w:rsidRPr="00C84312">
        <w:rPr>
          <w:rFonts w:ascii="Times New Roman" w:hAnsi="Times New Roman" w:cs="Times New Roman"/>
        </w:rPr>
        <w:t xml:space="preserve"> of these issues</w:t>
      </w:r>
      <w:r w:rsidR="008862A1">
        <w:rPr>
          <w:rFonts w:ascii="Times New Roman" w:hAnsi="Times New Roman" w:cs="Times New Roman"/>
        </w:rPr>
        <w:t xml:space="preserve"> and should certainly emphasize how significantly student behavior and attitude influence the possibility of success in courses</w:t>
      </w:r>
      <w:r w:rsidR="0049651F" w:rsidRPr="00C84312">
        <w:rPr>
          <w:rFonts w:ascii="Times New Roman" w:hAnsi="Times New Roman" w:cs="Times New Roman"/>
        </w:rPr>
        <w:t>.</w:t>
      </w:r>
    </w:p>
    <w:p w:rsidR="000741F4" w:rsidRPr="00C84312" w:rsidRDefault="000741F4" w:rsidP="00FB737B">
      <w:pPr>
        <w:jc w:val="both"/>
        <w:rPr>
          <w:rFonts w:ascii="Times New Roman" w:hAnsi="Times New Roman" w:cs="Times New Roman"/>
        </w:rPr>
      </w:pPr>
    </w:p>
    <w:p w:rsidR="000741F4" w:rsidRPr="00C84312" w:rsidRDefault="000741F4" w:rsidP="00FB737B">
      <w:pPr>
        <w:jc w:val="both"/>
        <w:rPr>
          <w:rFonts w:ascii="Times New Roman" w:hAnsi="Times New Roman" w:cs="Times New Roman"/>
        </w:rPr>
      </w:pPr>
      <w:r w:rsidRPr="00C84312">
        <w:rPr>
          <w:rFonts w:ascii="Times New Roman" w:hAnsi="Times New Roman" w:cs="Times New Roman"/>
        </w:rPr>
        <w:t>Finally and most importantly, longitudinal stu</w:t>
      </w:r>
      <w:r w:rsidR="002D5A91" w:rsidRPr="00C84312">
        <w:rPr>
          <w:rFonts w:ascii="Times New Roman" w:hAnsi="Times New Roman" w:cs="Times New Roman"/>
        </w:rPr>
        <w:t xml:space="preserve">dies are strongly recommended.  Success rates and MPO assessment are meaningless unless students can retain and apply their knowledge to successfully complete the next course.  At a minimum, students should be tracked from MTH 086 or AFM 083 through the completion of their first college-level math course.  </w:t>
      </w:r>
      <w:r w:rsidR="008862A1">
        <w:rPr>
          <w:rFonts w:ascii="Times New Roman" w:hAnsi="Times New Roman" w:cs="Times New Roman"/>
        </w:rPr>
        <w:t>One s</w:t>
      </w:r>
      <w:r w:rsidR="002D5A91" w:rsidRPr="00C84312">
        <w:rPr>
          <w:rFonts w:ascii="Times New Roman" w:hAnsi="Times New Roman" w:cs="Times New Roman"/>
        </w:rPr>
        <w:t xml:space="preserve">uch </w:t>
      </w:r>
      <w:r w:rsidR="008862A1">
        <w:rPr>
          <w:rFonts w:ascii="Times New Roman" w:hAnsi="Times New Roman" w:cs="Times New Roman"/>
        </w:rPr>
        <w:t xml:space="preserve">time-consuming </w:t>
      </w:r>
      <w:r w:rsidR="002D5A91" w:rsidRPr="00C84312">
        <w:rPr>
          <w:rFonts w:ascii="Times New Roman" w:hAnsi="Times New Roman" w:cs="Times New Roman"/>
        </w:rPr>
        <w:t xml:space="preserve">study </w:t>
      </w:r>
      <w:r w:rsidR="008862A1">
        <w:rPr>
          <w:rFonts w:ascii="Times New Roman" w:hAnsi="Times New Roman" w:cs="Times New Roman"/>
        </w:rPr>
        <w:t xml:space="preserve">was conducted several years ago by Math Department faculty.  Future, more efficient longitudinal studies should be fully supported </w:t>
      </w:r>
      <w:r w:rsidR="0035363A">
        <w:rPr>
          <w:rFonts w:ascii="Times New Roman" w:hAnsi="Times New Roman" w:cs="Times New Roman"/>
        </w:rPr>
        <w:t>by College administration, who must</w:t>
      </w:r>
      <w:r w:rsidR="008862A1">
        <w:rPr>
          <w:rFonts w:ascii="Times New Roman" w:hAnsi="Times New Roman" w:cs="Times New Roman"/>
        </w:rPr>
        <w:t xml:space="preserve"> </w:t>
      </w:r>
      <w:r w:rsidR="0035363A">
        <w:rPr>
          <w:rFonts w:ascii="Times New Roman" w:hAnsi="Times New Roman" w:cs="Times New Roman"/>
        </w:rPr>
        <w:t xml:space="preserve">allocate and/or </w:t>
      </w:r>
      <w:r w:rsidR="008862A1">
        <w:rPr>
          <w:rFonts w:ascii="Times New Roman" w:hAnsi="Times New Roman" w:cs="Times New Roman"/>
        </w:rPr>
        <w:t>purchas</w:t>
      </w:r>
      <w:r w:rsidR="0035363A">
        <w:rPr>
          <w:rFonts w:ascii="Times New Roman" w:hAnsi="Times New Roman" w:cs="Times New Roman"/>
        </w:rPr>
        <w:t>e</w:t>
      </w:r>
      <w:r w:rsidR="008862A1">
        <w:rPr>
          <w:rFonts w:ascii="Times New Roman" w:hAnsi="Times New Roman" w:cs="Times New Roman"/>
        </w:rPr>
        <w:t xml:space="preserve"> </w:t>
      </w:r>
      <w:r w:rsidR="002D5A91" w:rsidRPr="00C84312">
        <w:rPr>
          <w:rFonts w:ascii="Times New Roman" w:hAnsi="Times New Roman" w:cs="Times New Roman"/>
        </w:rPr>
        <w:t>require</w:t>
      </w:r>
      <w:r w:rsidR="008862A1">
        <w:rPr>
          <w:rFonts w:ascii="Times New Roman" w:hAnsi="Times New Roman" w:cs="Times New Roman"/>
        </w:rPr>
        <w:t>d</w:t>
      </w:r>
      <w:r w:rsidR="002D5A91" w:rsidRPr="00C84312">
        <w:rPr>
          <w:rFonts w:ascii="Times New Roman" w:hAnsi="Times New Roman" w:cs="Times New Roman"/>
        </w:rPr>
        <w:t xml:space="preserve"> </w:t>
      </w:r>
      <w:r w:rsidR="00BB2853" w:rsidRPr="00C84312">
        <w:rPr>
          <w:rFonts w:ascii="Times New Roman" w:hAnsi="Times New Roman" w:cs="Times New Roman"/>
        </w:rPr>
        <w:t xml:space="preserve">resources and </w:t>
      </w:r>
      <w:r w:rsidR="008862A1">
        <w:rPr>
          <w:rFonts w:ascii="Times New Roman" w:hAnsi="Times New Roman" w:cs="Times New Roman"/>
        </w:rPr>
        <w:t>personnel</w:t>
      </w:r>
      <w:r w:rsidR="0035363A">
        <w:rPr>
          <w:rFonts w:ascii="Times New Roman" w:hAnsi="Times New Roman" w:cs="Times New Roman"/>
        </w:rPr>
        <w:t xml:space="preserve"> to and prioritize course-sequence cohort tracking.</w:t>
      </w:r>
    </w:p>
    <w:sectPr w:rsidR="000741F4" w:rsidRPr="00C84312" w:rsidSect="00583F2A">
      <w:footerReference w:type="even"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B7" w:rsidRDefault="00976DB7" w:rsidP="00972B4B">
      <w:r>
        <w:separator/>
      </w:r>
    </w:p>
  </w:endnote>
  <w:endnote w:type="continuationSeparator" w:id="0">
    <w:p w:rsidR="00976DB7" w:rsidRDefault="00976DB7" w:rsidP="00972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8430"/>
      <w:gridCol w:w="440"/>
    </w:tblGrid>
    <w:tr w:rsidR="00096A4A" w:rsidRPr="00C7200C" w:rsidTr="00412CDF">
      <w:sdt>
        <w:sdtPr>
          <w:rPr>
            <w:rFonts w:ascii="Calibri" w:eastAsiaTheme="majorEastAsia" w:hAnsi="Calibri" w:cstheme="majorBidi"/>
            <w:b/>
            <w:color w:val="4F81BD" w:themeColor="accent1"/>
          </w:rPr>
          <w:alias w:val="Title"/>
          <w:id w:val="-268692488"/>
          <w:placeholder>
            <w:docPart w:val="A9E9EB6611F1004C8F62D8605261D31C"/>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rsidR="00096A4A" w:rsidRPr="00412958" w:rsidRDefault="00583F2A" w:rsidP="00583F2A">
              <w:pPr>
                <w:pStyle w:val="Header"/>
                <w:jc w:val="right"/>
                <w:rPr>
                  <w:rFonts w:ascii="Calibri" w:hAnsi="Calibri"/>
                  <w:b/>
                  <w:color w:val="4F81BD" w:themeColor="accent1"/>
                </w:rPr>
              </w:pPr>
              <w:r>
                <w:rPr>
                  <w:rFonts w:ascii="Calibri" w:eastAsiaTheme="majorEastAsia" w:hAnsi="Calibri" w:cstheme="majorBidi"/>
                  <w:b/>
                  <w:color w:val="4F81BD" w:themeColor="accent1"/>
                </w:rPr>
                <w:t>MTH 086 - 1</w:t>
              </w:r>
            </w:p>
          </w:tc>
        </w:sdtContent>
      </w:sdt>
      <w:tc>
        <w:tcPr>
          <w:tcW w:w="248" w:type="pct"/>
          <w:tcBorders>
            <w:left w:val="single" w:sz="18" w:space="0" w:color="4F81BD" w:themeColor="accent1"/>
          </w:tcBorders>
        </w:tcPr>
        <w:p w:rsidR="00096A4A" w:rsidRPr="00C7200C" w:rsidRDefault="00096A4A" w:rsidP="00412CDF">
          <w:pPr>
            <w:pStyle w:val="Header"/>
            <w:rPr>
              <w:rFonts w:ascii="Calibri" w:eastAsiaTheme="majorEastAsia" w:hAnsi="Calibri" w:cstheme="majorBidi"/>
              <w:b/>
              <w:color w:val="4F81BD" w:themeColor="accent1"/>
            </w:rPr>
          </w:pPr>
        </w:p>
      </w:tc>
    </w:tr>
  </w:tbl>
  <w:p w:rsidR="00096A4A" w:rsidRDefault="00096A4A" w:rsidP="00972B4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4A" w:rsidRPr="00583F2A" w:rsidRDefault="00583F2A" w:rsidP="00583F2A">
    <w:pPr>
      <w:pStyle w:val="Footer"/>
      <w:jc w:val="center"/>
      <w:rPr>
        <w:rFonts w:ascii="Times New Roman" w:hAnsi="Times New Roman" w:cs="Times New Roman"/>
        <w:sz w:val="20"/>
        <w:szCs w:val="20"/>
      </w:rPr>
    </w:pPr>
    <w:r w:rsidRPr="00583F2A">
      <w:rPr>
        <w:rFonts w:ascii="Times New Roman" w:hAnsi="Times New Roman" w:cs="Times New Roman"/>
        <w:sz w:val="20"/>
        <w:szCs w:val="20"/>
      </w:rPr>
      <w:t xml:space="preserve">MTH 086 - </w:t>
    </w:r>
    <w:r w:rsidRPr="00583F2A">
      <w:rPr>
        <w:rFonts w:ascii="Times New Roman" w:hAnsi="Times New Roman" w:cs="Times New Roman"/>
        <w:sz w:val="20"/>
        <w:szCs w:val="20"/>
      </w:rPr>
      <w:fldChar w:fldCharType="begin"/>
    </w:r>
    <w:r w:rsidRPr="00583F2A">
      <w:rPr>
        <w:rFonts w:ascii="Times New Roman" w:hAnsi="Times New Roman" w:cs="Times New Roman"/>
        <w:sz w:val="20"/>
        <w:szCs w:val="20"/>
      </w:rPr>
      <w:instrText xml:space="preserve"> PAGE   \* MERGEFORMAT </w:instrText>
    </w:r>
    <w:r w:rsidRPr="00583F2A">
      <w:rPr>
        <w:rFonts w:ascii="Times New Roman" w:hAnsi="Times New Roman" w:cs="Times New Roman"/>
        <w:sz w:val="20"/>
        <w:szCs w:val="20"/>
      </w:rPr>
      <w:fldChar w:fldCharType="separate"/>
    </w:r>
    <w:r w:rsidR="00976DB7">
      <w:rPr>
        <w:rFonts w:ascii="Times New Roman" w:hAnsi="Times New Roman" w:cs="Times New Roman"/>
        <w:noProof/>
        <w:sz w:val="20"/>
        <w:szCs w:val="20"/>
      </w:rPr>
      <w:t>1</w:t>
    </w:r>
    <w:r w:rsidRPr="00583F2A">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B7" w:rsidRDefault="00976DB7" w:rsidP="00972B4B">
      <w:r>
        <w:separator/>
      </w:r>
    </w:p>
  </w:footnote>
  <w:footnote w:type="continuationSeparator" w:id="0">
    <w:p w:rsidR="00976DB7" w:rsidRDefault="00976DB7" w:rsidP="00972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BB7"/>
    <w:multiLevelType w:val="hybridMultilevel"/>
    <w:tmpl w:val="E30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53DD0"/>
    <w:multiLevelType w:val="multilevel"/>
    <w:tmpl w:val="4BE281D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D14B0"/>
    <w:rsid w:val="0005395B"/>
    <w:rsid w:val="000741F4"/>
    <w:rsid w:val="00096A4A"/>
    <w:rsid w:val="000D3D8F"/>
    <w:rsid w:val="000F7096"/>
    <w:rsid w:val="00132212"/>
    <w:rsid w:val="001471B4"/>
    <w:rsid w:val="00176078"/>
    <w:rsid w:val="001B7D25"/>
    <w:rsid w:val="00206EC7"/>
    <w:rsid w:val="00262FD9"/>
    <w:rsid w:val="002671A8"/>
    <w:rsid w:val="00272D19"/>
    <w:rsid w:val="002C1EAF"/>
    <w:rsid w:val="002D5A91"/>
    <w:rsid w:val="0035363A"/>
    <w:rsid w:val="00364202"/>
    <w:rsid w:val="00397D44"/>
    <w:rsid w:val="003A03C6"/>
    <w:rsid w:val="00407743"/>
    <w:rsid w:val="00412CDF"/>
    <w:rsid w:val="0049651F"/>
    <w:rsid w:val="004A4043"/>
    <w:rsid w:val="004E7929"/>
    <w:rsid w:val="00540650"/>
    <w:rsid w:val="00583F2A"/>
    <w:rsid w:val="005D7B42"/>
    <w:rsid w:val="005E67F9"/>
    <w:rsid w:val="006418C3"/>
    <w:rsid w:val="007225CA"/>
    <w:rsid w:val="0076314B"/>
    <w:rsid w:val="00810022"/>
    <w:rsid w:val="0081509C"/>
    <w:rsid w:val="00845C4D"/>
    <w:rsid w:val="00847AB6"/>
    <w:rsid w:val="0085586E"/>
    <w:rsid w:val="008862A1"/>
    <w:rsid w:val="008937EE"/>
    <w:rsid w:val="008B4534"/>
    <w:rsid w:val="008F6102"/>
    <w:rsid w:val="0091199E"/>
    <w:rsid w:val="0094727F"/>
    <w:rsid w:val="00964E67"/>
    <w:rsid w:val="009679DE"/>
    <w:rsid w:val="00972B4B"/>
    <w:rsid w:val="00976DB7"/>
    <w:rsid w:val="009803DA"/>
    <w:rsid w:val="0098754C"/>
    <w:rsid w:val="009C345D"/>
    <w:rsid w:val="00A123AE"/>
    <w:rsid w:val="00A316DE"/>
    <w:rsid w:val="00A43FCE"/>
    <w:rsid w:val="00A90ACC"/>
    <w:rsid w:val="00A91665"/>
    <w:rsid w:val="00AA68FC"/>
    <w:rsid w:val="00AD14B0"/>
    <w:rsid w:val="00AD653E"/>
    <w:rsid w:val="00B15A93"/>
    <w:rsid w:val="00B60575"/>
    <w:rsid w:val="00B8717C"/>
    <w:rsid w:val="00BA1D75"/>
    <w:rsid w:val="00BB2853"/>
    <w:rsid w:val="00BE1625"/>
    <w:rsid w:val="00BE69C0"/>
    <w:rsid w:val="00C52DF7"/>
    <w:rsid w:val="00C55804"/>
    <w:rsid w:val="00C64506"/>
    <w:rsid w:val="00C84312"/>
    <w:rsid w:val="00CA5BD8"/>
    <w:rsid w:val="00D010D3"/>
    <w:rsid w:val="00D84323"/>
    <w:rsid w:val="00DA64FE"/>
    <w:rsid w:val="00DC53FD"/>
    <w:rsid w:val="00E9292F"/>
    <w:rsid w:val="00F32463"/>
    <w:rsid w:val="00F35902"/>
    <w:rsid w:val="00F97DD4"/>
    <w:rsid w:val="00FB7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D9"/>
  </w:style>
  <w:style w:type="paragraph" w:styleId="Heading1">
    <w:name w:val="heading 1"/>
    <w:basedOn w:val="Normal"/>
    <w:next w:val="Normal"/>
    <w:link w:val="Heading1Char"/>
    <w:uiPriority w:val="9"/>
    <w:qFormat/>
    <w:rsid w:val="00C558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0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90ACC"/>
    <w:pPr>
      <w:ind w:left="720"/>
      <w:contextualSpacing/>
    </w:pPr>
  </w:style>
  <w:style w:type="table" w:styleId="TableGrid">
    <w:name w:val="Table Grid"/>
    <w:basedOn w:val="TableNormal"/>
    <w:rsid w:val="006418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418C3"/>
    <w:rPr>
      <w:rFonts w:ascii="Consolas" w:eastAsiaTheme="minorHAnsi" w:hAnsi="Consolas"/>
      <w:sz w:val="21"/>
      <w:szCs w:val="21"/>
    </w:rPr>
  </w:style>
  <w:style w:type="character" w:customStyle="1" w:styleId="PlainTextChar">
    <w:name w:val="Plain Text Char"/>
    <w:basedOn w:val="DefaultParagraphFont"/>
    <w:link w:val="PlainText"/>
    <w:uiPriority w:val="99"/>
    <w:rsid w:val="006418C3"/>
    <w:rPr>
      <w:rFonts w:ascii="Consolas" w:eastAsiaTheme="minorHAnsi" w:hAnsi="Consolas"/>
      <w:sz w:val="21"/>
      <w:szCs w:val="21"/>
    </w:rPr>
  </w:style>
  <w:style w:type="character" w:customStyle="1" w:styleId="Heading2Char">
    <w:name w:val="Heading 2 Char"/>
    <w:basedOn w:val="DefaultParagraphFont"/>
    <w:link w:val="Heading2"/>
    <w:uiPriority w:val="9"/>
    <w:rsid w:val="00F97DD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2C1EAF"/>
  </w:style>
  <w:style w:type="paragraph" w:styleId="FootnoteText">
    <w:name w:val="footnote text"/>
    <w:basedOn w:val="Normal"/>
    <w:link w:val="FootnoteTextChar"/>
    <w:uiPriority w:val="99"/>
    <w:unhideWhenUsed/>
    <w:rsid w:val="00972B4B"/>
  </w:style>
  <w:style w:type="character" w:customStyle="1" w:styleId="FootnoteTextChar">
    <w:name w:val="Footnote Text Char"/>
    <w:basedOn w:val="DefaultParagraphFont"/>
    <w:link w:val="FootnoteText"/>
    <w:uiPriority w:val="99"/>
    <w:rsid w:val="00972B4B"/>
  </w:style>
  <w:style w:type="character" w:styleId="FootnoteReference">
    <w:name w:val="footnote reference"/>
    <w:basedOn w:val="DefaultParagraphFont"/>
    <w:uiPriority w:val="99"/>
    <w:unhideWhenUsed/>
    <w:rsid w:val="00972B4B"/>
    <w:rPr>
      <w:vertAlign w:val="superscript"/>
    </w:rPr>
  </w:style>
  <w:style w:type="paragraph" w:styleId="Header">
    <w:name w:val="header"/>
    <w:basedOn w:val="Normal"/>
    <w:link w:val="HeaderChar"/>
    <w:uiPriority w:val="99"/>
    <w:unhideWhenUsed/>
    <w:rsid w:val="00972B4B"/>
    <w:pPr>
      <w:tabs>
        <w:tab w:val="center" w:pos="4320"/>
        <w:tab w:val="right" w:pos="8640"/>
      </w:tabs>
    </w:pPr>
  </w:style>
  <w:style w:type="character" w:customStyle="1" w:styleId="HeaderChar">
    <w:name w:val="Header Char"/>
    <w:basedOn w:val="DefaultParagraphFont"/>
    <w:link w:val="Header"/>
    <w:uiPriority w:val="99"/>
    <w:rsid w:val="00972B4B"/>
  </w:style>
  <w:style w:type="paragraph" w:styleId="Footer">
    <w:name w:val="footer"/>
    <w:basedOn w:val="Normal"/>
    <w:link w:val="FooterChar"/>
    <w:uiPriority w:val="99"/>
    <w:unhideWhenUsed/>
    <w:rsid w:val="00972B4B"/>
    <w:pPr>
      <w:tabs>
        <w:tab w:val="center" w:pos="4320"/>
        <w:tab w:val="right" w:pos="8640"/>
      </w:tabs>
    </w:pPr>
  </w:style>
  <w:style w:type="character" w:customStyle="1" w:styleId="FooterChar">
    <w:name w:val="Footer Char"/>
    <w:basedOn w:val="DefaultParagraphFont"/>
    <w:link w:val="Footer"/>
    <w:uiPriority w:val="99"/>
    <w:rsid w:val="00972B4B"/>
  </w:style>
  <w:style w:type="paragraph" w:styleId="BalloonText">
    <w:name w:val="Balloon Text"/>
    <w:basedOn w:val="Normal"/>
    <w:link w:val="BalloonTextChar"/>
    <w:uiPriority w:val="99"/>
    <w:semiHidden/>
    <w:unhideWhenUsed/>
    <w:rsid w:val="00272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8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9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0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90ACC"/>
    <w:pPr>
      <w:ind w:left="720"/>
      <w:contextualSpacing/>
    </w:pPr>
  </w:style>
  <w:style w:type="table" w:styleId="TableGrid">
    <w:name w:val="Table Grid"/>
    <w:basedOn w:val="TableNormal"/>
    <w:rsid w:val="006418C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418C3"/>
    <w:rPr>
      <w:rFonts w:ascii="Consolas" w:eastAsiaTheme="minorHAnsi" w:hAnsi="Consolas"/>
      <w:sz w:val="21"/>
      <w:szCs w:val="21"/>
    </w:rPr>
  </w:style>
  <w:style w:type="character" w:customStyle="1" w:styleId="PlainTextChar">
    <w:name w:val="Plain Text Char"/>
    <w:basedOn w:val="DefaultParagraphFont"/>
    <w:link w:val="PlainText"/>
    <w:uiPriority w:val="99"/>
    <w:rsid w:val="006418C3"/>
    <w:rPr>
      <w:rFonts w:ascii="Consolas" w:eastAsiaTheme="minorHAnsi" w:hAnsi="Consolas"/>
      <w:sz w:val="21"/>
      <w:szCs w:val="21"/>
    </w:rPr>
  </w:style>
  <w:style w:type="character" w:customStyle="1" w:styleId="Heading2Char">
    <w:name w:val="Heading 2 Char"/>
    <w:basedOn w:val="DefaultParagraphFont"/>
    <w:link w:val="Heading2"/>
    <w:uiPriority w:val="9"/>
    <w:rsid w:val="00F97DD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2C1EAF"/>
  </w:style>
  <w:style w:type="paragraph" w:styleId="FootnoteText">
    <w:name w:val="footnote text"/>
    <w:basedOn w:val="Normal"/>
    <w:link w:val="FootnoteTextChar"/>
    <w:uiPriority w:val="99"/>
    <w:unhideWhenUsed/>
    <w:rsid w:val="00972B4B"/>
  </w:style>
  <w:style w:type="character" w:customStyle="1" w:styleId="FootnoteTextChar">
    <w:name w:val="Footnote Text Char"/>
    <w:basedOn w:val="DefaultParagraphFont"/>
    <w:link w:val="FootnoteText"/>
    <w:uiPriority w:val="99"/>
    <w:rsid w:val="00972B4B"/>
  </w:style>
  <w:style w:type="character" w:styleId="FootnoteReference">
    <w:name w:val="footnote reference"/>
    <w:basedOn w:val="DefaultParagraphFont"/>
    <w:uiPriority w:val="99"/>
    <w:unhideWhenUsed/>
    <w:rsid w:val="00972B4B"/>
    <w:rPr>
      <w:vertAlign w:val="superscript"/>
    </w:rPr>
  </w:style>
  <w:style w:type="paragraph" w:styleId="Header">
    <w:name w:val="header"/>
    <w:basedOn w:val="Normal"/>
    <w:link w:val="HeaderChar"/>
    <w:uiPriority w:val="99"/>
    <w:unhideWhenUsed/>
    <w:rsid w:val="00972B4B"/>
    <w:pPr>
      <w:tabs>
        <w:tab w:val="center" w:pos="4320"/>
        <w:tab w:val="right" w:pos="8640"/>
      </w:tabs>
    </w:pPr>
  </w:style>
  <w:style w:type="character" w:customStyle="1" w:styleId="HeaderChar">
    <w:name w:val="Header Char"/>
    <w:basedOn w:val="DefaultParagraphFont"/>
    <w:link w:val="Header"/>
    <w:uiPriority w:val="99"/>
    <w:rsid w:val="00972B4B"/>
  </w:style>
  <w:style w:type="paragraph" w:styleId="Footer">
    <w:name w:val="footer"/>
    <w:basedOn w:val="Normal"/>
    <w:link w:val="FooterChar"/>
    <w:uiPriority w:val="99"/>
    <w:unhideWhenUsed/>
    <w:rsid w:val="00972B4B"/>
    <w:pPr>
      <w:tabs>
        <w:tab w:val="center" w:pos="4320"/>
        <w:tab w:val="right" w:pos="8640"/>
      </w:tabs>
    </w:pPr>
  </w:style>
  <w:style w:type="character" w:customStyle="1" w:styleId="FooterChar">
    <w:name w:val="Footer Char"/>
    <w:basedOn w:val="DefaultParagraphFont"/>
    <w:link w:val="Footer"/>
    <w:uiPriority w:val="99"/>
    <w:rsid w:val="00972B4B"/>
  </w:style>
  <w:style w:type="paragraph" w:styleId="BalloonText">
    <w:name w:val="Balloon Text"/>
    <w:basedOn w:val="Normal"/>
    <w:link w:val="BalloonTextChar"/>
    <w:uiPriority w:val="99"/>
    <w:semiHidden/>
    <w:unhideWhenUsed/>
    <w:rsid w:val="00272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D1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018551">
      <w:bodyDiv w:val="1"/>
      <w:marLeft w:val="0"/>
      <w:marRight w:val="0"/>
      <w:marTop w:val="0"/>
      <w:marBottom w:val="0"/>
      <w:divBdr>
        <w:top w:val="none" w:sz="0" w:space="0" w:color="auto"/>
        <w:left w:val="none" w:sz="0" w:space="0" w:color="auto"/>
        <w:bottom w:val="none" w:sz="0" w:space="0" w:color="auto"/>
        <w:right w:val="none" w:sz="0" w:space="0" w:color="auto"/>
      </w:divBdr>
    </w:div>
    <w:div w:id="125399050">
      <w:bodyDiv w:val="1"/>
      <w:marLeft w:val="0"/>
      <w:marRight w:val="0"/>
      <w:marTop w:val="0"/>
      <w:marBottom w:val="0"/>
      <w:divBdr>
        <w:top w:val="none" w:sz="0" w:space="0" w:color="auto"/>
        <w:left w:val="none" w:sz="0" w:space="0" w:color="auto"/>
        <w:bottom w:val="none" w:sz="0" w:space="0" w:color="auto"/>
        <w:right w:val="none" w:sz="0" w:space="0" w:color="auto"/>
      </w:divBdr>
    </w:div>
    <w:div w:id="299263506">
      <w:bodyDiv w:val="1"/>
      <w:marLeft w:val="0"/>
      <w:marRight w:val="0"/>
      <w:marTop w:val="0"/>
      <w:marBottom w:val="0"/>
      <w:divBdr>
        <w:top w:val="none" w:sz="0" w:space="0" w:color="auto"/>
        <w:left w:val="none" w:sz="0" w:space="0" w:color="auto"/>
        <w:bottom w:val="none" w:sz="0" w:space="0" w:color="auto"/>
        <w:right w:val="none" w:sz="0" w:space="0" w:color="auto"/>
      </w:divBdr>
    </w:div>
    <w:div w:id="335159566">
      <w:bodyDiv w:val="1"/>
      <w:marLeft w:val="0"/>
      <w:marRight w:val="0"/>
      <w:marTop w:val="0"/>
      <w:marBottom w:val="0"/>
      <w:divBdr>
        <w:top w:val="none" w:sz="0" w:space="0" w:color="auto"/>
        <w:left w:val="none" w:sz="0" w:space="0" w:color="auto"/>
        <w:bottom w:val="none" w:sz="0" w:space="0" w:color="auto"/>
        <w:right w:val="none" w:sz="0" w:space="0" w:color="auto"/>
      </w:divBdr>
    </w:div>
    <w:div w:id="375202237">
      <w:bodyDiv w:val="1"/>
      <w:marLeft w:val="0"/>
      <w:marRight w:val="0"/>
      <w:marTop w:val="0"/>
      <w:marBottom w:val="0"/>
      <w:divBdr>
        <w:top w:val="none" w:sz="0" w:space="0" w:color="auto"/>
        <w:left w:val="none" w:sz="0" w:space="0" w:color="auto"/>
        <w:bottom w:val="none" w:sz="0" w:space="0" w:color="auto"/>
        <w:right w:val="none" w:sz="0" w:space="0" w:color="auto"/>
      </w:divBdr>
    </w:div>
    <w:div w:id="521405259">
      <w:bodyDiv w:val="1"/>
      <w:marLeft w:val="0"/>
      <w:marRight w:val="0"/>
      <w:marTop w:val="0"/>
      <w:marBottom w:val="0"/>
      <w:divBdr>
        <w:top w:val="none" w:sz="0" w:space="0" w:color="auto"/>
        <w:left w:val="none" w:sz="0" w:space="0" w:color="auto"/>
        <w:bottom w:val="none" w:sz="0" w:space="0" w:color="auto"/>
        <w:right w:val="none" w:sz="0" w:space="0" w:color="auto"/>
      </w:divBdr>
    </w:div>
    <w:div w:id="1321814336">
      <w:bodyDiv w:val="1"/>
      <w:marLeft w:val="0"/>
      <w:marRight w:val="0"/>
      <w:marTop w:val="0"/>
      <w:marBottom w:val="0"/>
      <w:divBdr>
        <w:top w:val="none" w:sz="0" w:space="0" w:color="auto"/>
        <w:left w:val="none" w:sz="0" w:space="0" w:color="auto"/>
        <w:bottom w:val="none" w:sz="0" w:space="0" w:color="auto"/>
        <w:right w:val="none" w:sz="0" w:space="0" w:color="auto"/>
      </w:divBdr>
    </w:div>
    <w:div w:id="1371341864">
      <w:bodyDiv w:val="1"/>
      <w:marLeft w:val="0"/>
      <w:marRight w:val="0"/>
      <w:marTop w:val="0"/>
      <w:marBottom w:val="0"/>
      <w:divBdr>
        <w:top w:val="none" w:sz="0" w:space="0" w:color="auto"/>
        <w:left w:val="none" w:sz="0" w:space="0" w:color="auto"/>
        <w:bottom w:val="none" w:sz="0" w:space="0" w:color="auto"/>
        <w:right w:val="none" w:sz="0" w:space="0" w:color="auto"/>
      </w:divBdr>
    </w:div>
    <w:div w:id="1840735244">
      <w:bodyDiv w:val="1"/>
      <w:marLeft w:val="0"/>
      <w:marRight w:val="0"/>
      <w:marTop w:val="0"/>
      <w:marBottom w:val="0"/>
      <w:divBdr>
        <w:top w:val="none" w:sz="0" w:space="0" w:color="auto"/>
        <w:left w:val="none" w:sz="0" w:space="0" w:color="auto"/>
        <w:bottom w:val="none" w:sz="0" w:space="0" w:color="auto"/>
        <w:right w:val="none" w:sz="0" w:space="0" w:color="auto"/>
      </w:divBdr>
    </w:div>
    <w:div w:id="1920214947">
      <w:bodyDiv w:val="1"/>
      <w:marLeft w:val="0"/>
      <w:marRight w:val="0"/>
      <w:marTop w:val="0"/>
      <w:marBottom w:val="0"/>
      <w:divBdr>
        <w:top w:val="none" w:sz="0" w:space="0" w:color="auto"/>
        <w:left w:val="none" w:sz="0" w:space="0" w:color="auto"/>
        <w:bottom w:val="none" w:sz="0" w:space="0" w:color="auto"/>
        <w:right w:val="none" w:sz="0" w:space="0" w:color="auto"/>
      </w:divBdr>
    </w:div>
    <w:div w:id="2071920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manualLayout>
          <c:layoutTarget val="inner"/>
          <c:xMode val="edge"/>
          <c:yMode val="edge"/>
          <c:x val="0.12392224409448803"/>
          <c:y val="2.3809523809523808E-2"/>
          <c:w val="0.79842045785943405"/>
          <c:h val="0.84788401449818862"/>
        </c:manualLayout>
      </c:layout>
      <c:barChart>
        <c:barDir val="col"/>
        <c:grouping val="clustered"/>
        <c:ser>
          <c:idx val="0"/>
          <c:order val="0"/>
          <c:tx>
            <c:strRef>
              <c:f>Sheet1!$B$1</c:f>
              <c:strCache>
                <c:ptCount val="1"/>
                <c:pt idx="0">
                  <c:v>1</c:v>
                </c:pt>
              </c:strCache>
            </c:strRef>
          </c:tx>
          <c:cat>
            <c:strRef>
              <c:f>Sheet1!$A$2:$A$3</c:f>
              <c:strCache>
                <c:ptCount val="2"/>
                <c:pt idx="0">
                  <c:v>Full-Time</c:v>
                </c:pt>
                <c:pt idx="1">
                  <c:v>Part-Time</c:v>
                </c:pt>
              </c:strCache>
            </c:strRef>
          </c:cat>
          <c:val>
            <c:numRef>
              <c:f>Sheet1!$B$2:$B$3</c:f>
              <c:numCache>
                <c:formatCode>0%</c:formatCode>
                <c:ptCount val="2"/>
                <c:pt idx="0">
                  <c:v>0.4200000000000001</c:v>
                </c:pt>
                <c:pt idx="1">
                  <c:v>0.91</c:v>
                </c:pt>
              </c:numCache>
            </c:numRef>
          </c:val>
        </c:ser>
        <c:ser>
          <c:idx val="1"/>
          <c:order val="1"/>
          <c:tx>
            <c:strRef>
              <c:f>Sheet1!$C$1</c:f>
              <c:strCache>
                <c:ptCount val="1"/>
                <c:pt idx="0">
                  <c:v>2</c:v>
                </c:pt>
              </c:strCache>
            </c:strRef>
          </c:tx>
          <c:cat>
            <c:strRef>
              <c:f>Sheet1!$A$2:$A$3</c:f>
              <c:strCache>
                <c:ptCount val="2"/>
                <c:pt idx="0">
                  <c:v>Full-Time</c:v>
                </c:pt>
                <c:pt idx="1">
                  <c:v>Part-Time</c:v>
                </c:pt>
              </c:strCache>
            </c:strRef>
          </c:cat>
          <c:val>
            <c:numRef>
              <c:f>Sheet1!$C$2:$C$3</c:f>
              <c:numCache>
                <c:formatCode>0%</c:formatCode>
                <c:ptCount val="2"/>
                <c:pt idx="0">
                  <c:v>0.17</c:v>
                </c:pt>
                <c:pt idx="1">
                  <c:v>0.54</c:v>
                </c:pt>
              </c:numCache>
            </c:numRef>
          </c:val>
        </c:ser>
        <c:ser>
          <c:idx val="2"/>
          <c:order val="2"/>
          <c:tx>
            <c:strRef>
              <c:f>Sheet1!$D$1</c:f>
              <c:strCache>
                <c:ptCount val="1"/>
                <c:pt idx="0">
                  <c:v>3</c:v>
                </c:pt>
              </c:strCache>
            </c:strRef>
          </c:tx>
          <c:cat>
            <c:strRef>
              <c:f>Sheet1!$A$2:$A$3</c:f>
              <c:strCache>
                <c:ptCount val="2"/>
                <c:pt idx="0">
                  <c:v>Full-Time</c:v>
                </c:pt>
                <c:pt idx="1">
                  <c:v>Part-Time</c:v>
                </c:pt>
              </c:strCache>
            </c:strRef>
          </c:cat>
          <c:val>
            <c:numRef>
              <c:f>Sheet1!$D$2:$D$3</c:f>
              <c:numCache>
                <c:formatCode>0%</c:formatCode>
                <c:ptCount val="2"/>
                <c:pt idx="1">
                  <c:v>0.5</c:v>
                </c:pt>
              </c:numCache>
            </c:numRef>
          </c:val>
        </c:ser>
        <c:ser>
          <c:idx val="3"/>
          <c:order val="3"/>
          <c:tx>
            <c:strRef>
              <c:f>Sheet1!$E$1</c:f>
              <c:strCache>
                <c:ptCount val="1"/>
                <c:pt idx="0">
                  <c:v>4</c:v>
                </c:pt>
              </c:strCache>
            </c:strRef>
          </c:tx>
          <c:cat>
            <c:strRef>
              <c:f>Sheet1!$A$2:$A$3</c:f>
              <c:strCache>
                <c:ptCount val="2"/>
                <c:pt idx="0">
                  <c:v>Full-Time</c:v>
                </c:pt>
                <c:pt idx="1">
                  <c:v>Part-Time</c:v>
                </c:pt>
              </c:strCache>
            </c:strRef>
          </c:cat>
          <c:val>
            <c:numRef>
              <c:f>Sheet1!$E$2:$E$3</c:f>
              <c:numCache>
                <c:formatCode>0%</c:formatCode>
                <c:ptCount val="2"/>
                <c:pt idx="1">
                  <c:v>0.37000000000000011</c:v>
                </c:pt>
              </c:numCache>
            </c:numRef>
          </c:val>
        </c:ser>
        <c:ser>
          <c:idx val="4"/>
          <c:order val="4"/>
          <c:tx>
            <c:strRef>
              <c:f>Sheet1!$F$1</c:f>
              <c:strCache>
                <c:ptCount val="1"/>
                <c:pt idx="0">
                  <c:v>5</c:v>
                </c:pt>
              </c:strCache>
            </c:strRef>
          </c:tx>
          <c:cat>
            <c:strRef>
              <c:f>Sheet1!$A$2:$A$3</c:f>
              <c:strCache>
                <c:ptCount val="2"/>
                <c:pt idx="0">
                  <c:v>Full-Time</c:v>
                </c:pt>
                <c:pt idx="1">
                  <c:v>Part-Time</c:v>
                </c:pt>
              </c:strCache>
            </c:strRef>
          </c:cat>
          <c:val>
            <c:numRef>
              <c:f>Sheet1!$F$2:$F$3</c:f>
              <c:numCache>
                <c:formatCode>0%</c:formatCode>
                <c:ptCount val="2"/>
                <c:pt idx="1">
                  <c:v>0.3600000000000001</c:v>
                </c:pt>
              </c:numCache>
            </c:numRef>
          </c:val>
        </c:ser>
        <c:ser>
          <c:idx val="5"/>
          <c:order val="5"/>
          <c:tx>
            <c:strRef>
              <c:f>Sheet1!$G$1</c:f>
              <c:strCache>
                <c:ptCount val="1"/>
                <c:pt idx="0">
                  <c:v>6</c:v>
                </c:pt>
              </c:strCache>
            </c:strRef>
          </c:tx>
          <c:cat>
            <c:strRef>
              <c:f>Sheet1!$A$2:$A$3</c:f>
              <c:strCache>
                <c:ptCount val="2"/>
                <c:pt idx="0">
                  <c:v>Full-Time</c:v>
                </c:pt>
                <c:pt idx="1">
                  <c:v>Part-Time</c:v>
                </c:pt>
              </c:strCache>
            </c:strRef>
          </c:cat>
          <c:val>
            <c:numRef>
              <c:f>Sheet1!$G$2:$G$3</c:f>
              <c:numCache>
                <c:formatCode>0%</c:formatCode>
                <c:ptCount val="2"/>
                <c:pt idx="1">
                  <c:v>0.33000000000000013</c:v>
                </c:pt>
              </c:numCache>
            </c:numRef>
          </c:val>
        </c:ser>
        <c:ser>
          <c:idx val="6"/>
          <c:order val="6"/>
          <c:tx>
            <c:strRef>
              <c:f>Sheet1!$H$1</c:f>
              <c:strCache>
                <c:ptCount val="1"/>
                <c:pt idx="0">
                  <c:v>7</c:v>
                </c:pt>
              </c:strCache>
            </c:strRef>
          </c:tx>
          <c:cat>
            <c:strRef>
              <c:f>Sheet1!$A$2:$A$3</c:f>
              <c:strCache>
                <c:ptCount val="2"/>
                <c:pt idx="0">
                  <c:v>Full-Time</c:v>
                </c:pt>
                <c:pt idx="1">
                  <c:v>Part-Time</c:v>
                </c:pt>
              </c:strCache>
            </c:strRef>
          </c:cat>
          <c:val>
            <c:numRef>
              <c:f>Sheet1!$H$2:$H$3</c:f>
              <c:numCache>
                <c:formatCode>0%</c:formatCode>
                <c:ptCount val="2"/>
                <c:pt idx="1">
                  <c:v>0.24000000000000005</c:v>
                </c:pt>
              </c:numCache>
            </c:numRef>
          </c:val>
        </c:ser>
        <c:ser>
          <c:idx val="7"/>
          <c:order val="7"/>
          <c:tx>
            <c:strRef>
              <c:f>Sheet1!$I$1</c:f>
              <c:strCache>
                <c:ptCount val="1"/>
                <c:pt idx="0">
                  <c:v>8</c:v>
                </c:pt>
              </c:strCache>
            </c:strRef>
          </c:tx>
          <c:cat>
            <c:strRef>
              <c:f>Sheet1!$A$2:$A$3</c:f>
              <c:strCache>
                <c:ptCount val="2"/>
                <c:pt idx="0">
                  <c:v>Full-Time</c:v>
                </c:pt>
                <c:pt idx="1">
                  <c:v>Part-Time</c:v>
                </c:pt>
              </c:strCache>
            </c:strRef>
          </c:cat>
          <c:val>
            <c:numRef>
              <c:f>Sheet1!$I$2:$I$3</c:f>
              <c:numCache>
                <c:formatCode>0%</c:formatCode>
                <c:ptCount val="2"/>
                <c:pt idx="1">
                  <c:v>0.21000000000000005</c:v>
                </c:pt>
              </c:numCache>
            </c:numRef>
          </c:val>
        </c:ser>
        <c:ser>
          <c:idx val="8"/>
          <c:order val="8"/>
          <c:tx>
            <c:strRef>
              <c:f>Sheet1!$J$1</c:f>
              <c:strCache>
                <c:ptCount val="1"/>
                <c:pt idx="0">
                  <c:v>9</c:v>
                </c:pt>
              </c:strCache>
            </c:strRef>
          </c:tx>
          <c:cat>
            <c:strRef>
              <c:f>Sheet1!$A$2:$A$3</c:f>
              <c:strCache>
                <c:ptCount val="2"/>
                <c:pt idx="0">
                  <c:v>Full-Time</c:v>
                </c:pt>
                <c:pt idx="1">
                  <c:v>Part-Time</c:v>
                </c:pt>
              </c:strCache>
            </c:strRef>
          </c:cat>
          <c:val>
            <c:numRef>
              <c:f>Sheet1!$J$2:$J$3</c:f>
              <c:numCache>
                <c:formatCode>0%</c:formatCode>
                <c:ptCount val="2"/>
                <c:pt idx="1">
                  <c:v>0.14000000000000001</c:v>
                </c:pt>
              </c:numCache>
            </c:numRef>
          </c:val>
        </c:ser>
        <c:axId val="96697344"/>
        <c:axId val="102802176"/>
      </c:barChart>
      <c:catAx>
        <c:axId val="96697344"/>
        <c:scaling>
          <c:orientation val="minMax"/>
        </c:scaling>
        <c:axPos val="b"/>
        <c:tickLblPos val="nextTo"/>
        <c:crossAx val="102802176"/>
        <c:crosses val="autoZero"/>
        <c:auto val="1"/>
        <c:lblAlgn val="ctr"/>
        <c:lblOffset val="100"/>
      </c:catAx>
      <c:valAx>
        <c:axId val="102802176"/>
        <c:scaling>
          <c:orientation val="minMax"/>
        </c:scaling>
        <c:axPos val="l"/>
        <c:majorGridlines/>
        <c:numFmt formatCode="0%" sourceLinked="1"/>
        <c:tickLblPos val="nextTo"/>
        <c:crossAx val="96697344"/>
        <c:crosses val="autoZero"/>
        <c:crossBetween val="between"/>
      </c:valAx>
    </c:plotArea>
    <c:legend>
      <c:legendPos val="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E9EB6611F1004C8F62D8605261D31C"/>
        <w:category>
          <w:name w:val="General"/>
          <w:gallery w:val="placeholder"/>
        </w:category>
        <w:types>
          <w:type w:val="bbPlcHdr"/>
        </w:types>
        <w:behaviors>
          <w:behavior w:val="content"/>
        </w:behaviors>
        <w:guid w:val="{E7C49080-D1E6-E74D-8E8F-930211FDB881}"/>
      </w:docPartPr>
      <w:docPartBody>
        <w:p w:rsidR="00F84F42" w:rsidRDefault="00F84F42" w:rsidP="00F84F42">
          <w:pPr>
            <w:pStyle w:val="A9E9EB6611F1004C8F62D8605261D31C"/>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4F42"/>
    <w:rsid w:val="001667DD"/>
    <w:rsid w:val="001E6E18"/>
    <w:rsid w:val="00B37506"/>
    <w:rsid w:val="00F8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0D33EB01F2E40A8A0F4C8511083D9">
    <w:name w:val="CC80D33EB01F2E40A8A0F4C8511083D9"/>
    <w:rsid w:val="00F84F42"/>
  </w:style>
  <w:style w:type="paragraph" w:customStyle="1" w:styleId="A9E9EB6611F1004C8F62D8605261D31C">
    <w:name w:val="A9E9EB6611F1004C8F62D8605261D31C"/>
    <w:rsid w:val="00F84F42"/>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0B5D-0E37-4A98-8477-1B164A66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2210</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MTH 086 - 1</vt:lpstr>
      <vt:lpstr>Introduction</vt:lpstr>
      <vt:lpstr>Purpose</vt:lpstr>
      <vt:lpstr>Methodology</vt:lpstr>
      <vt:lpstr>    Sample</vt:lpstr>
      <vt:lpstr>    MPO Results</vt:lpstr>
      <vt:lpstr>    Other Variables Impacting Student Success</vt:lpstr>
      <vt:lpstr>    Learning Strategies</vt:lpstr>
      <vt:lpstr>Conclusion and Recommendations</vt:lpstr>
    </vt:vector>
  </TitlesOfParts>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086 - 1</dc:title>
  <dc:subject/>
  <dc:creator>Ines Figueiras</dc:creator>
  <cp:keywords/>
  <dc:description/>
  <cp:lastModifiedBy>Susan Gaulden</cp:lastModifiedBy>
  <cp:revision>4</cp:revision>
  <cp:lastPrinted>2011-07-20T02:01:00Z</cp:lastPrinted>
  <dcterms:created xsi:type="dcterms:W3CDTF">2011-07-20T01:43:00Z</dcterms:created>
  <dcterms:modified xsi:type="dcterms:W3CDTF">2011-07-20T02:01:00Z</dcterms:modified>
</cp:coreProperties>
</file>