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4A2071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7921A6" w:rsidRPr="007921A6">
        <w:rPr>
          <w:rFonts w:asciiTheme="minorHAnsi" w:hAnsiTheme="minorHAnsi"/>
          <w:sz w:val="28"/>
          <w:szCs w:val="28"/>
          <w:u w:val="single"/>
        </w:rPr>
        <w:t>CHM 104</w:t>
      </w:r>
      <w:r w:rsidR="00C158DE">
        <w:rPr>
          <w:rFonts w:asciiTheme="minorHAnsi" w:hAnsiTheme="minorHAnsi"/>
          <w:sz w:val="28"/>
          <w:szCs w:val="28"/>
        </w:rPr>
        <w:t xml:space="preserve">         </w:t>
      </w:r>
      <w:r w:rsidR="007921A6">
        <w:rPr>
          <w:rFonts w:asciiTheme="minorHAnsi" w:hAnsiTheme="minorHAnsi"/>
          <w:sz w:val="28"/>
          <w:szCs w:val="28"/>
        </w:rPr>
        <w:tab/>
      </w:r>
      <w:r w:rsidR="007921A6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C158DE">
        <w:rPr>
          <w:rFonts w:asciiTheme="minorHAnsi" w:hAnsiTheme="minorHAnsi"/>
          <w:sz w:val="28"/>
          <w:szCs w:val="28"/>
        </w:rPr>
        <w:t xml:space="preserve"> </w:t>
      </w:r>
      <w:r w:rsidR="007921A6" w:rsidRPr="007921A6">
        <w:rPr>
          <w:rFonts w:asciiTheme="minorHAnsi" w:hAnsiTheme="minorHAnsi"/>
          <w:sz w:val="28"/>
          <w:szCs w:val="28"/>
          <w:u w:val="single"/>
        </w:rPr>
        <w:t>General Chemistry II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>:</w:t>
      </w:r>
      <w:r w:rsidR="00C158DE">
        <w:rPr>
          <w:rFonts w:asciiTheme="minorHAnsi" w:hAnsiTheme="minorHAnsi"/>
          <w:sz w:val="28"/>
          <w:szCs w:val="28"/>
        </w:rPr>
        <w:t xml:space="preserve"> </w:t>
      </w:r>
      <w:r w:rsidRPr="00FF0875">
        <w:rPr>
          <w:rFonts w:asciiTheme="minorHAnsi" w:hAnsiTheme="minorHAnsi"/>
          <w:sz w:val="28"/>
          <w:szCs w:val="28"/>
        </w:rPr>
        <w:t xml:space="preserve"> </w:t>
      </w:r>
      <w:r w:rsidR="007921A6" w:rsidRPr="007921A6">
        <w:rPr>
          <w:rFonts w:asciiTheme="minorHAnsi" w:hAnsiTheme="minorHAnsi"/>
          <w:sz w:val="28"/>
          <w:szCs w:val="28"/>
          <w:u w:val="single"/>
        </w:rPr>
        <w:t>4.0</w:t>
      </w:r>
      <w:r w:rsidR="00C158DE">
        <w:rPr>
          <w:rFonts w:asciiTheme="minorHAnsi" w:hAnsiTheme="minorHAnsi"/>
          <w:sz w:val="28"/>
          <w:szCs w:val="28"/>
        </w:rPr>
        <w:t xml:space="preserve">  </w:t>
      </w:r>
      <w:r w:rsidR="007921A6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7921A6" w:rsidRPr="007921A6">
        <w:rPr>
          <w:rFonts w:asciiTheme="minorHAnsi" w:hAnsiTheme="minorHAnsi"/>
          <w:sz w:val="28"/>
          <w:szCs w:val="28"/>
          <w:u w:val="single"/>
        </w:rPr>
        <w:t>6.0</w:t>
      </w:r>
      <w:r w:rsidR="00545256">
        <w:rPr>
          <w:rFonts w:asciiTheme="minorHAnsi" w:hAnsiTheme="minorHAnsi"/>
          <w:sz w:val="28"/>
          <w:szCs w:val="28"/>
        </w:rPr>
        <w:t xml:space="preserve">  </w:t>
      </w:r>
      <w:r w:rsidR="007921A6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C158DE" w:rsidRPr="007921A6">
        <w:rPr>
          <w:rFonts w:asciiTheme="minorHAnsi" w:hAnsiTheme="minorHAnsi"/>
          <w:sz w:val="28"/>
          <w:szCs w:val="28"/>
          <w:u w:val="single"/>
        </w:rPr>
        <w:t xml:space="preserve">Emmanuel </w:t>
      </w:r>
      <w:proofErr w:type="spellStart"/>
      <w:r w:rsidR="00C158DE" w:rsidRPr="007921A6">
        <w:rPr>
          <w:rFonts w:asciiTheme="minorHAnsi" w:hAnsiTheme="minorHAnsi"/>
          <w:sz w:val="28"/>
          <w:szCs w:val="28"/>
          <w:u w:val="single"/>
        </w:rPr>
        <w:t>Aouad</w:t>
      </w:r>
      <w:proofErr w:type="spellEnd"/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4A2071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7921A6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/>
          <w:bCs/>
          <w:noProof/>
        </w:rPr>
        <w:pict>
          <v:group id="_x0000_s1051" style="position:absolute;left:0;text-align:left;margin-left:210pt;margin-top:3.2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 w:rsidR="004A2071"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 w:rsidR="004A2071"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 w:rsidR="004A2071"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Default="007921A6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  <w:t xml:space="preserve">     </w:t>
      </w:r>
      <w:r w:rsidRPr="007921A6">
        <w:rPr>
          <w:rStyle w:val="normalchar1"/>
          <w:rFonts w:ascii="Calibri" w:hAnsi="Calibri" w:cs="Arial"/>
          <w:bCs/>
          <w:sz w:val="20"/>
          <w:szCs w:val="20"/>
        </w:rPr>
        <w:t>(Chemistry program)</w:t>
      </w:r>
    </w:p>
    <w:p w:rsidR="007921A6" w:rsidRPr="007921A6" w:rsidRDefault="007921A6" w:rsidP="00A134AF">
      <w:pPr>
        <w:pStyle w:val="normal0"/>
        <w:ind w:left="-567"/>
        <w:rPr>
          <w:rStyle w:val="normalchar1"/>
          <w:rFonts w:ascii="Calibri" w:hAnsi="Calibri" w:cs="Arial"/>
          <w:bCs/>
          <w:sz w:val="20"/>
          <w:szCs w:val="20"/>
        </w:rPr>
      </w:pPr>
    </w:p>
    <w:p w:rsidR="00995750" w:rsidRPr="001D2647" w:rsidRDefault="004A2071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4A2071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4A2071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A2071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7921A6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/>
          <w:bCs/>
          <w:noProof/>
        </w:rPr>
        <w:pict>
          <v:group id="_x0000_s1054" style="position:absolute;margin-left:-12.75pt;margin-top:3.7pt;width:7.15pt;height:7.9pt;z-index:251681792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 w:rsidR="004A2071"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 w:rsidR="004A2071"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4A2071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4A2071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4A2071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A2071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FF0875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  <w:p w:rsidR="00176D56" w:rsidRDefault="00176D56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F71E8" w:rsidRDefault="00545256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Use mathematical skills proficiently to rearrange equations, determine significant figures, compute and round off numbers, and implement scientific notation</w:t>
            </w:r>
            <w:r w:rsidR="007921A6">
              <w:rPr>
                <w:rStyle w:val="normalchar1"/>
                <w:rFonts w:ascii="Calibri" w:hAnsi="Calibri" w:cs="Arial"/>
                <w:bCs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1033EE" w:rsidRPr="007921A6" w:rsidRDefault="007921A6" w:rsidP="007921A6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Blueprinted questions on q</w:t>
            </w:r>
            <w:r w:rsidR="006E5567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uizzes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and</w:t>
            </w:r>
            <w:r w:rsidR="001033E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tests and review of laboratory notebooks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921A6" w:rsidRDefault="007921A6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921A6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F71E8" w:rsidRDefault="00545256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Demonstrate knowledge of the basic concepts of chemistry, which are part of the general</w:t>
            </w:r>
            <w:r w:rsidR="004F347B">
              <w:rPr>
                <w:rStyle w:val="normalchar1"/>
                <w:rFonts w:ascii="Calibri" w:hAnsi="Calibri" w:cs="Arial"/>
                <w:bCs/>
              </w:rPr>
              <w:t xml:space="preserve"> education required for many professional</w:t>
            </w:r>
            <w:r w:rsidR="007921A6">
              <w:rPr>
                <w:rStyle w:val="normalchar1"/>
                <w:rFonts w:ascii="Calibri" w:hAnsi="Calibri" w:cs="Arial"/>
                <w:bCs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921A6" w:rsidRDefault="007921A6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Blueprinted questions on quizzes and tests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4750C3" w:rsidRPr="003178BD" w:rsidRDefault="004F347B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Utilize critical thinking techniques to reason, listen, follow directions,</w:t>
            </w:r>
            <w:r w:rsidR="006E5567">
              <w:rPr>
                <w:rStyle w:val="normalchar1"/>
                <w:rFonts w:ascii="Calibri" w:hAnsi="Calibri" w:cs="Arial"/>
                <w:bCs/>
              </w:rPr>
              <w:t xml:space="preserve"> make</w:t>
            </w:r>
            <w:r>
              <w:rPr>
                <w:rStyle w:val="normalchar1"/>
                <w:rFonts w:ascii="Calibri" w:hAnsi="Calibri" w:cs="Arial"/>
                <w:bCs/>
              </w:rPr>
              <w:t xml:space="preserve"> observations</w:t>
            </w:r>
            <w:r w:rsidR="007921A6">
              <w:rPr>
                <w:rStyle w:val="normalchar1"/>
                <w:rFonts w:ascii="Calibri" w:hAnsi="Calibri" w:cs="Arial"/>
                <w:bCs/>
              </w:rPr>
              <w:t>, and draw conclusions</w:t>
            </w:r>
            <w:r w:rsidR="004750C3">
              <w:rPr>
                <w:rStyle w:val="normalchar1"/>
                <w:rFonts w:ascii="Calibri" w:hAnsi="Calibri" w:cs="Arial"/>
                <w:bCs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37CA8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Quizzes</w:t>
            </w:r>
            <w:r w:rsidR="001033E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, Tests, Laboratory activity and report writing.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3178BD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Convert word problems to the appropriate mathematical language and solve them quantitatively</w:t>
            </w:r>
            <w:r w:rsidR="007921A6">
              <w:rPr>
                <w:rStyle w:val="normalchar1"/>
                <w:rFonts w:ascii="Calibri" w:hAnsi="Calibri" w:cs="Arial"/>
                <w:bCs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Quizzes</w:t>
            </w:r>
            <w:r w:rsidR="001033E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, Tests, Laboratory activity and report writing.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F71E8" w:rsidRDefault="003178BD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Apply proficient laboratory skills</w:t>
            </w:r>
            <w:r w:rsidR="00527B13">
              <w:rPr>
                <w:rStyle w:val="normalchar1"/>
                <w:rFonts w:ascii="Calibri" w:hAnsi="Calibri" w:cs="Arial"/>
                <w:bCs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F71E8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Quizzes</w:t>
            </w:r>
            <w:r w:rsidR="001033E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, Tests, Laboratory activity and report writing.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8A3342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</w:tcPr>
          <w:p w:rsidR="007F71E8" w:rsidRPr="007921A6" w:rsidRDefault="00EB538E" w:rsidP="00EB538E">
            <w:pPr>
              <w:pStyle w:val="normal0"/>
              <w:numPr>
                <w:ilvl w:val="0"/>
                <w:numId w:val="4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Goals for Non-Chemistry Majors: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921A6" w:rsidRDefault="00EB538E" w:rsidP="00EB538E">
            <w:pPr>
              <w:pStyle w:val="normal0"/>
              <w:numPr>
                <w:ilvl w:val="0"/>
                <w:numId w:val="5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To provide a meaningful understanding of fundamental concepts of Chemistry and how these concepts interface with the functioning of humans and the ecosystem.</w:t>
            </w:r>
          </w:p>
        </w:tc>
        <w:tc>
          <w:tcPr>
            <w:tcW w:w="5010" w:type="dxa"/>
          </w:tcPr>
          <w:p w:rsidR="00737CA8" w:rsidRPr="007F71E8" w:rsidRDefault="00737CA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7F71E8" w:rsidRDefault="00737CA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37CA8" w:rsidRPr="007921A6" w:rsidRDefault="00EB538E" w:rsidP="00EB538E">
            <w:pPr>
              <w:pStyle w:val="normal0"/>
              <w:numPr>
                <w:ilvl w:val="0"/>
                <w:numId w:val="5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To increase the student’s knowledge in the field of Chemistry </w:t>
            </w:r>
          </w:p>
        </w:tc>
        <w:tc>
          <w:tcPr>
            <w:tcW w:w="5010" w:type="dxa"/>
          </w:tcPr>
          <w:p w:rsidR="00737CA8" w:rsidRPr="007F71E8" w:rsidRDefault="00737CA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37CA8" w:rsidRPr="007F71E8" w:rsidRDefault="00737CA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921A6" w:rsidRDefault="00EB538E" w:rsidP="00EB538E">
            <w:pPr>
              <w:pStyle w:val="normal0"/>
              <w:numPr>
                <w:ilvl w:val="0"/>
                <w:numId w:val="5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To expose the student to laboratory experiments that investigate the scientific phenomena</w:t>
            </w:r>
          </w:p>
        </w:tc>
        <w:tc>
          <w:tcPr>
            <w:tcW w:w="5010" w:type="dxa"/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F71E8" w:rsidRPr="007F71E8" w:rsidRDefault="007F71E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921A6" w:rsidRDefault="00EB538E" w:rsidP="00EB538E">
            <w:pPr>
              <w:pStyle w:val="normal0"/>
              <w:numPr>
                <w:ilvl w:val="0"/>
                <w:numId w:val="5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To familiarize the student with the process of science</w:t>
            </w:r>
          </w:p>
        </w:tc>
        <w:tc>
          <w:tcPr>
            <w:tcW w:w="5010" w:type="dxa"/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F71E8" w:rsidRPr="007F71E8" w:rsidRDefault="007F71E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7F71E8" w:rsidRPr="007921A6" w:rsidRDefault="00EB538E" w:rsidP="00EB538E">
            <w:pPr>
              <w:pStyle w:val="normal0"/>
              <w:numPr>
                <w:ilvl w:val="0"/>
                <w:numId w:val="5"/>
              </w:numPr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>To teach techniques such as measurements and use of the periodic table, and</w:t>
            </w:r>
          </w:p>
        </w:tc>
        <w:tc>
          <w:tcPr>
            <w:tcW w:w="5010" w:type="dxa"/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7F71E8" w:rsidRPr="007F71E8" w:rsidRDefault="007F71E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921A6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12" w:space="0" w:color="000000" w:themeColor="text1"/>
            </w:tcBorders>
          </w:tcPr>
          <w:p w:rsidR="006E5567" w:rsidRPr="007921A6" w:rsidRDefault="00EB538E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   </w:t>
            </w:r>
            <w:r w:rsidR="006E5567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f.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</w:t>
            </w:r>
            <w:r w:rsidR="006E5567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To expose students to the use of computers in </w:t>
            </w:r>
            <w:r w:rsidR="006E5567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  </w:t>
            </w:r>
          </w:p>
          <w:p w:rsidR="006E5567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lastRenderedPageBreak/>
              <w:t xml:space="preserve">              </w:t>
            </w:r>
            <w:r w:rsidR="00EB538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research through identifying websites that 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 </w:t>
            </w:r>
          </w:p>
          <w:p w:rsidR="006E5567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           </w:t>
            </w:r>
            <w:r w:rsidR="00EB538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objectively present information about the field of </w:t>
            </w: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</w:t>
            </w:r>
          </w:p>
          <w:p w:rsidR="007F71E8" w:rsidRPr="007921A6" w:rsidRDefault="006E5567" w:rsidP="00EB538E">
            <w:pPr>
              <w:pStyle w:val="normal0"/>
              <w:rPr>
                <w:rStyle w:val="normalchar1"/>
                <w:rFonts w:ascii="Calibri" w:hAnsi="Calibri" w:cs="Arial"/>
                <w:bCs/>
                <w:highlight w:val="yellow"/>
              </w:rPr>
            </w:pPr>
            <w:r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              </w:t>
            </w:r>
            <w:r w:rsidR="00EB538E" w:rsidRPr="007921A6">
              <w:rPr>
                <w:rStyle w:val="normalchar1"/>
                <w:rFonts w:ascii="Calibri" w:hAnsi="Calibri" w:cs="Arial"/>
                <w:bCs/>
                <w:highlight w:val="yellow"/>
              </w:rPr>
              <w:t xml:space="preserve">Chemistry. </w:t>
            </w:r>
          </w:p>
        </w:tc>
        <w:tc>
          <w:tcPr>
            <w:tcW w:w="5010" w:type="dxa"/>
            <w:tcBorders>
              <w:bottom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7F71E8" w:rsidRDefault="007F71E8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7921A6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lastRenderedPageBreak/>
              <w:t>Gen Ed Goals</w:t>
            </w:r>
            <w:r w:rsidR="008A3342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7F71E8" w:rsidRP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7F71E8" w:rsidRDefault="007921A6" w:rsidP="007921A6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  <w:r w:rsidRPr="007921A6">
              <w:rPr>
                <w:rStyle w:val="normalchar1"/>
                <w:rFonts w:ascii="Calibri" w:hAnsi="Calibri" w:cs="Arial"/>
                <w:b/>
                <w:bCs/>
              </w:rPr>
              <w:t>Scientific Knowledge and Reasoning</w:t>
            </w:r>
            <w:r>
              <w:rPr>
                <w:rStyle w:val="normalchar1"/>
                <w:rFonts w:ascii="Calibri" w:hAnsi="Calibri" w:cs="Arial"/>
                <w:bCs/>
              </w:rPr>
              <w:t>: Students will use the scientific method of inquiry through the acquisition of scientific knowledge.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</w:tcPr>
          <w:p w:rsidR="007F71E8" w:rsidRPr="007F71E8" w:rsidRDefault="007F71E8" w:rsidP="00EB538E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F71E8" w:rsidRPr="007921A6" w:rsidRDefault="007921A6" w:rsidP="007921A6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7921A6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?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BA" w:rsidRDefault="003910BA" w:rsidP="008A3342">
      <w:r>
        <w:separator/>
      </w:r>
    </w:p>
  </w:endnote>
  <w:endnote w:type="continuationSeparator" w:id="0">
    <w:p w:rsidR="003910BA" w:rsidRDefault="003910BA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EB538E" w:rsidRPr="008A3342" w:rsidRDefault="004A2071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EB538E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7921A6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EB538E">
          <w:rPr>
            <w:rFonts w:asciiTheme="minorHAnsi" w:hAnsiTheme="minorHAnsi"/>
          </w:rPr>
          <w:tab/>
        </w:r>
        <w:r w:rsidR="00EB538E">
          <w:rPr>
            <w:rFonts w:asciiTheme="minorHAnsi" w:hAnsiTheme="minorHAnsi"/>
          </w:rPr>
          <w:tab/>
        </w:r>
        <w:r w:rsidR="00EB538E">
          <w:rPr>
            <w:rFonts w:asciiTheme="minorHAnsi" w:hAnsiTheme="minorHAnsi"/>
          </w:rPr>
          <w:tab/>
        </w:r>
        <w:r w:rsidR="00EB538E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EB538E" w:rsidRDefault="00EB5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BA" w:rsidRDefault="003910BA" w:rsidP="008A3342">
      <w:r>
        <w:separator/>
      </w:r>
    </w:p>
  </w:footnote>
  <w:footnote w:type="continuationSeparator" w:id="0">
    <w:p w:rsidR="003910BA" w:rsidRDefault="003910BA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575"/>
    <w:multiLevelType w:val="hybridMultilevel"/>
    <w:tmpl w:val="4140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01FC"/>
    <w:multiLevelType w:val="hybridMultilevel"/>
    <w:tmpl w:val="6E14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EF93C39"/>
    <w:multiLevelType w:val="hybridMultilevel"/>
    <w:tmpl w:val="21702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632B"/>
    <w:multiLevelType w:val="hybridMultilevel"/>
    <w:tmpl w:val="F0B8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033EE"/>
    <w:rsid w:val="00176D56"/>
    <w:rsid w:val="001D2647"/>
    <w:rsid w:val="002E57B7"/>
    <w:rsid w:val="0030505A"/>
    <w:rsid w:val="003178BD"/>
    <w:rsid w:val="003439FD"/>
    <w:rsid w:val="003609A0"/>
    <w:rsid w:val="003910BA"/>
    <w:rsid w:val="003E532F"/>
    <w:rsid w:val="004620EB"/>
    <w:rsid w:val="004750C3"/>
    <w:rsid w:val="004A2071"/>
    <w:rsid w:val="004F347B"/>
    <w:rsid w:val="00527B13"/>
    <w:rsid w:val="005444BF"/>
    <w:rsid w:val="00545256"/>
    <w:rsid w:val="005C0E41"/>
    <w:rsid w:val="00620732"/>
    <w:rsid w:val="006E5567"/>
    <w:rsid w:val="00732D55"/>
    <w:rsid w:val="00737CA8"/>
    <w:rsid w:val="007921A6"/>
    <w:rsid w:val="007F1414"/>
    <w:rsid w:val="007F71E8"/>
    <w:rsid w:val="0089609C"/>
    <w:rsid w:val="008A3342"/>
    <w:rsid w:val="008A7C42"/>
    <w:rsid w:val="00995750"/>
    <w:rsid w:val="00A134AF"/>
    <w:rsid w:val="00AF1B2E"/>
    <w:rsid w:val="00B66F55"/>
    <w:rsid w:val="00BD0FA3"/>
    <w:rsid w:val="00BD7A22"/>
    <w:rsid w:val="00C158DE"/>
    <w:rsid w:val="00C4474A"/>
    <w:rsid w:val="00DA2B5A"/>
    <w:rsid w:val="00E90B0C"/>
    <w:rsid w:val="00EB538E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47"/>
        <o:r id="V:Rule4" type="connector" idref="#_x0000_s1048"/>
        <o:r id="V:Rule5" type="connector" idref="#_x0000_s1052"/>
        <o:r id="V:Rule6" type="connector" idref="#_x0000_s1053"/>
        <o:r id="V:Rule7" type="connector" idref="#_x0000_s1055"/>
        <o:r id="V:Rule8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2</cp:revision>
  <cp:lastPrinted>2011-09-26T21:45:00Z</cp:lastPrinted>
  <dcterms:created xsi:type="dcterms:W3CDTF">2011-09-27T22:14:00Z</dcterms:created>
  <dcterms:modified xsi:type="dcterms:W3CDTF">2011-09-27T22:14:00Z</dcterms:modified>
</cp:coreProperties>
</file>